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60321" w14:textId="77777777" w:rsidR="00617DF3" w:rsidRPr="00617DF3" w:rsidRDefault="00617DF3" w:rsidP="003C6959">
      <w:pPr>
        <w:spacing w:after="0" w:line="240" w:lineRule="auto"/>
        <w:jc w:val="both"/>
        <w:rPr>
          <w:rFonts w:ascii="Times New Roman" w:hAnsi="Times New Roman" w:cs="Times New Roman"/>
          <w:b/>
          <w:bCs/>
          <w:sz w:val="28"/>
          <w:szCs w:val="28"/>
        </w:rPr>
      </w:pPr>
    </w:p>
    <w:p w14:paraId="0047733F" w14:textId="5B6FAD3E" w:rsidR="00996347" w:rsidRPr="00617DF3" w:rsidRDefault="00617DF3" w:rsidP="003C6959">
      <w:pPr>
        <w:spacing w:after="0" w:line="240" w:lineRule="auto"/>
        <w:jc w:val="both"/>
        <w:rPr>
          <w:rFonts w:ascii="Times New Roman" w:hAnsi="Times New Roman" w:cs="Times New Roman"/>
          <w:b/>
          <w:bCs/>
          <w:sz w:val="28"/>
          <w:szCs w:val="28"/>
        </w:rPr>
      </w:pPr>
      <w:r w:rsidRPr="00617DF3">
        <w:rPr>
          <w:rFonts w:ascii="Times New Roman" w:hAnsi="Times New Roman" w:cs="Times New Roman"/>
          <w:noProof/>
          <w:lang w:eastAsia="es-MX"/>
        </w:rPr>
        <w:drawing>
          <wp:anchor distT="0" distB="0" distL="114300" distR="114300" simplePos="0" relativeHeight="251659264" behindDoc="1" locked="0" layoutInCell="1" allowOverlap="1" wp14:anchorId="639F2DBF" wp14:editId="2E144A35">
            <wp:simplePos x="0" y="0"/>
            <wp:positionH relativeFrom="page">
              <wp:posOffset>-42545</wp:posOffset>
            </wp:positionH>
            <wp:positionV relativeFrom="margin">
              <wp:posOffset>-867410</wp:posOffset>
            </wp:positionV>
            <wp:extent cx="7812000" cy="1199513"/>
            <wp:effectExtent l="0" t="0" r="0" b="1270"/>
            <wp:wrapSquare wrapText="bothSides"/>
            <wp:docPr id="73635542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2000" cy="1199513"/>
                    </a:xfrm>
                    <a:prstGeom prst="rect">
                      <a:avLst/>
                    </a:prstGeom>
                    <a:noFill/>
                    <a:ln>
                      <a:noFill/>
                    </a:ln>
                  </pic:spPr>
                </pic:pic>
              </a:graphicData>
            </a:graphic>
            <wp14:sizeRelH relativeFrom="page">
              <wp14:pctWidth>0</wp14:pctWidth>
            </wp14:sizeRelH>
            <wp14:sizeRelV relativeFrom="page">
              <wp14:pctHeight>0</wp14:pctHeight>
            </wp14:sizeRelV>
          </wp:anchor>
        </w:drawing>
      </w:r>
      <w:r w:rsidR="00996347" w:rsidRPr="00617DF3">
        <w:rPr>
          <w:rFonts w:ascii="Times New Roman" w:hAnsi="Times New Roman" w:cs="Times New Roman"/>
          <w:b/>
          <w:bCs/>
          <w:sz w:val="28"/>
          <w:szCs w:val="28"/>
        </w:rPr>
        <w:t>Arquitecturas neuro-experienciales del aprendizaje para la cognición de orden superior</w:t>
      </w:r>
    </w:p>
    <w:p w14:paraId="566EB972" w14:textId="772BE074" w:rsidR="0063524F" w:rsidRPr="00617DF3" w:rsidRDefault="008E4D92" w:rsidP="003C6959">
      <w:pPr>
        <w:spacing w:after="0" w:line="240" w:lineRule="auto"/>
        <w:jc w:val="both"/>
        <w:rPr>
          <w:rFonts w:ascii="Times New Roman" w:hAnsi="Times New Roman" w:cs="Times New Roman"/>
          <w:bCs/>
          <w:i/>
          <w:sz w:val="24"/>
          <w:szCs w:val="24"/>
          <w:lang w:val="en-US"/>
        </w:rPr>
      </w:pPr>
      <w:r w:rsidRPr="00617DF3">
        <w:rPr>
          <w:rFonts w:ascii="Times New Roman" w:hAnsi="Times New Roman" w:cs="Times New Roman"/>
          <w:bCs/>
          <w:i/>
          <w:sz w:val="24"/>
          <w:szCs w:val="24"/>
          <w:lang w:val="en-US"/>
        </w:rPr>
        <w:t>Neuro-Experiential Architectures of Learning for Higher-Order Cognition</w:t>
      </w:r>
    </w:p>
    <w:p w14:paraId="1AE85F99" w14:textId="77777777" w:rsidR="00330D41" w:rsidRPr="00617DF3" w:rsidRDefault="00330D41" w:rsidP="003C6959">
      <w:pPr>
        <w:spacing w:after="0" w:line="240" w:lineRule="auto"/>
        <w:jc w:val="center"/>
        <w:rPr>
          <w:rFonts w:ascii="Times New Roman" w:hAnsi="Times New Roman" w:cs="Times New Roman"/>
          <w:b/>
          <w:bCs/>
          <w:sz w:val="24"/>
          <w:szCs w:val="24"/>
          <w:lang w:val="en-US"/>
        </w:rPr>
      </w:pPr>
    </w:p>
    <w:p w14:paraId="0A33B4EF" w14:textId="77777777" w:rsidR="0063524F" w:rsidRPr="00617DF3" w:rsidRDefault="0063524F" w:rsidP="003C6959">
      <w:pPr>
        <w:spacing w:after="0" w:line="240" w:lineRule="auto"/>
        <w:jc w:val="center"/>
        <w:rPr>
          <w:rFonts w:ascii="Times New Roman" w:hAnsi="Times New Roman" w:cs="Times New Roman"/>
          <w:b/>
          <w:bCs/>
          <w:sz w:val="24"/>
          <w:szCs w:val="24"/>
          <w:lang w:val="en-US"/>
        </w:rPr>
      </w:pPr>
    </w:p>
    <w:p w14:paraId="14E830EB" w14:textId="77777777" w:rsidR="0063524F" w:rsidRPr="00617DF3" w:rsidRDefault="0063524F" w:rsidP="003C6959">
      <w:pPr>
        <w:spacing w:after="0" w:line="240" w:lineRule="auto"/>
        <w:jc w:val="right"/>
        <w:rPr>
          <w:rFonts w:ascii="Times New Roman" w:hAnsi="Times New Roman" w:cs="Times New Roman"/>
          <w:b/>
          <w:sz w:val="24"/>
          <w:szCs w:val="24"/>
        </w:rPr>
      </w:pPr>
      <w:r w:rsidRPr="00617DF3">
        <w:rPr>
          <w:rFonts w:ascii="Times New Roman" w:hAnsi="Times New Roman" w:cs="Times New Roman"/>
          <w:b/>
          <w:sz w:val="24"/>
          <w:szCs w:val="24"/>
        </w:rPr>
        <w:t>Ana Dolores Franco Valdez</w:t>
      </w:r>
    </w:p>
    <w:p w14:paraId="6F4D9157" w14:textId="77777777" w:rsidR="0063524F" w:rsidRPr="00617DF3" w:rsidRDefault="0063524F" w:rsidP="003C6959">
      <w:pPr>
        <w:spacing w:after="0" w:line="240" w:lineRule="auto"/>
        <w:jc w:val="right"/>
        <w:rPr>
          <w:rFonts w:ascii="Times New Roman" w:hAnsi="Times New Roman" w:cs="Times New Roman"/>
          <w:sz w:val="24"/>
          <w:szCs w:val="24"/>
        </w:rPr>
      </w:pPr>
      <w:r w:rsidRPr="00617DF3">
        <w:rPr>
          <w:rFonts w:ascii="Times New Roman" w:hAnsi="Times New Roman" w:cs="Times New Roman"/>
          <w:sz w:val="24"/>
          <w:szCs w:val="24"/>
        </w:rPr>
        <w:t>Instituto Tecnológico y de Estudios Superiores de Monterrey</w:t>
      </w:r>
    </w:p>
    <w:p w14:paraId="2A16293C" w14:textId="77777777" w:rsidR="0063524F" w:rsidRPr="00617DF3" w:rsidRDefault="0063524F" w:rsidP="003C6959">
      <w:pPr>
        <w:spacing w:after="0" w:line="240" w:lineRule="auto"/>
        <w:jc w:val="right"/>
        <w:rPr>
          <w:rFonts w:ascii="Times New Roman" w:hAnsi="Times New Roman" w:cs="Times New Roman"/>
          <w:color w:val="EE0000"/>
          <w:sz w:val="24"/>
          <w:szCs w:val="24"/>
        </w:rPr>
      </w:pPr>
      <w:r w:rsidRPr="00617DF3">
        <w:rPr>
          <w:rFonts w:ascii="Times New Roman" w:hAnsi="Times New Roman" w:cs="Times New Roman"/>
          <w:color w:val="EE0000"/>
          <w:sz w:val="24"/>
          <w:szCs w:val="24"/>
        </w:rPr>
        <w:t>ana.franco@tec.mx</w:t>
      </w:r>
    </w:p>
    <w:p w14:paraId="5116DF15" w14:textId="4D54B658" w:rsidR="00A43FEC" w:rsidRPr="00617DF3" w:rsidRDefault="00A43FEC" w:rsidP="003C6959">
      <w:pPr>
        <w:spacing w:after="0" w:line="240" w:lineRule="auto"/>
        <w:jc w:val="right"/>
        <w:rPr>
          <w:rFonts w:ascii="Times New Roman" w:hAnsi="Times New Roman" w:cs="Times New Roman"/>
          <w:sz w:val="24"/>
          <w:szCs w:val="24"/>
        </w:rPr>
      </w:pPr>
      <w:r w:rsidRPr="00617DF3">
        <w:rPr>
          <w:rStyle w:val="Hipervnculo"/>
          <w:rFonts w:ascii="Times New Roman" w:hAnsi="Times New Roman" w:cs="Times New Roman"/>
          <w:color w:val="auto"/>
          <w:sz w:val="24"/>
          <w:szCs w:val="24"/>
          <w:u w:val="none"/>
        </w:rPr>
        <w:t>https://orcid.org/0000-0001-9235-7899</w:t>
      </w:r>
    </w:p>
    <w:p w14:paraId="502F0C87" w14:textId="77777777" w:rsidR="005B5EB4" w:rsidRPr="00617DF3" w:rsidRDefault="005B5EB4" w:rsidP="003C6959">
      <w:pPr>
        <w:spacing w:after="0" w:line="240" w:lineRule="auto"/>
        <w:jc w:val="right"/>
        <w:rPr>
          <w:rFonts w:ascii="Times New Roman" w:hAnsi="Times New Roman" w:cs="Times New Roman"/>
          <w:sz w:val="24"/>
          <w:szCs w:val="24"/>
        </w:rPr>
      </w:pPr>
    </w:p>
    <w:p w14:paraId="267444E0" w14:textId="707541DA" w:rsidR="0063524F" w:rsidRPr="00617DF3" w:rsidRDefault="0063524F" w:rsidP="003C6959">
      <w:pPr>
        <w:spacing w:after="0" w:line="240" w:lineRule="auto"/>
        <w:jc w:val="right"/>
        <w:rPr>
          <w:rFonts w:ascii="Times New Roman" w:hAnsi="Times New Roman" w:cs="Times New Roman"/>
          <w:b/>
          <w:sz w:val="24"/>
          <w:szCs w:val="24"/>
        </w:rPr>
      </w:pPr>
      <w:r w:rsidRPr="00617DF3">
        <w:rPr>
          <w:rFonts w:ascii="Times New Roman" w:hAnsi="Times New Roman" w:cs="Times New Roman"/>
          <w:b/>
          <w:sz w:val="24"/>
          <w:szCs w:val="24"/>
        </w:rPr>
        <w:t>Alfonso Valdez Cervantes</w:t>
      </w:r>
    </w:p>
    <w:p w14:paraId="2EF49B5F" w14:textId="77777777" w:rsidR="0063524F" w:rsidRPr="00617DF3" w:rsidRDefault="0063524F" w:rsidP="003C6959">
      <w:pPr>
        <w:spacing w:after="0" w:line="240" w:lineRule="auto"/>
        <w:jc w:val="right"/>
        <w:rPr>
          <w:rFonts w:ascii="Times New Roman" w:hAnsi="Times New Roman" w:cs="Times New Roman"/>
          <w:sz w:val="24"/>
          <w:szCs w:val="24"/>
        </w:rPr>
      </w:pPr>
      <w:r w:rsidRPr="00617DF3">
        <w:rPr>
          <w:rFonts w:ascii="Times New Roman" w:hAnsi="Times New Roman" w:cs="Times New Roman"/>
          <w:sz w:val="24"/>
          <w:szCs w:val="24"/>
        </w:rPr>
        <w:t>Instituto Tecnológico y de Estudios Superiores de Monterrey</w:t>
      </w:r>
    </w:p>
    <w:p w14:paraId="78F96679" w14:textId="2C2E07ED" w:rsidR="0063524F" w:rsidRPr="00617DF3" w:rsidRDefault="0063524F" w:rsidP="003C6959">
      <w:pPr>
        <w:spacing w:after="0" w:line="240" w:lineRule="auto"/>
        <w:jc w:val="right"/>
        <w:rPr>
          <w:rFonts w:ascii="Times New Roman" w:hAnsi="Times New Roman" w:cs="Times New Roman"/>
          <w:color w:val="EE0000"/>
          <w:sz w:val="24"/>
          <w:szCs w:val="24"/>
        </w:rPr>
      </w:pPr>
      <w:r w:rsidRPr="00617DF3">
        <w:rPr>
          <w:rFonts w:ascii="Times New Roman" w:hAnsi="Times New Roman" w:cs="Times New Roman"/>
          <w:color w:val="EE0000"/>
          <w:sz w:val="24"/>
          <w:szCs w:val="24"/>
        </w:rPr>
        <w:t>avaldez@tec.mx</w:t>
      </w:r>
    </w:p>
    <w:p w14:paraId="495EFCC4" w14:textId="5E0E73E7" w:rsidR="00301BD2" w:rsidRPr="00617DF3" w:rsidRDefault="00301BD2" w:rsidP="003C6959">
      <w:pPr>
        <w:spacing w:after="0" w:line="240" w:lineRule="auto"/>
        <w:jc w:val="right"/>
        <w:rPr>
          <w:rFonts w:ascii="Times New Roman" w:hAnsi="Times New Roman" w:cs="Times New Roman"/>
          <w:b/>
          <w:bCs/>
          <w:sz w:val="24"/>
          <w:szCs w:val="24"/>
        </w:rPr>
      </w:pPr>
      <w:r w:rsidRPr="00617DF3">
        <w:rPr>
          <w:rStyle w:val="Hipervnculo"/>
          <w:rFonts w:ascii="Times New Roman" w:hAnsi="Times New Roman" w:cs="Times New Roman"/>
          <w:color w:val="auto"/>
          <w:sz w:val="24"/>
          <w:szCs w:val="24"/>
          <w:u w:val="none"/>
        </w:rPr>
        <w:t>https://orcid.org/0000-0003-3400-5654</w:t>
      </w:r>
    </w:p>
    <w:p w14:paraId="4E96730C" w14:textId="45D2616A" w:rsidR="00BE1664" w:rsidRPr="00617DF3" w:rsidRDefault="00BE1664" w:rsidP="003C6959">
      <w:pPr>
        <w:spacing w:after="0" w:line="240" w:lineRule="auto"/>
        <w:jc w:val="both"/>
        <w:rPr>
          <w:rFonts w:ascii="Times New Roman" w:hAnsi="Times New Roman" w:cs="Times New Roman"/>
          <w:b/>
          <w:bCs/>
          <w:sz w:val="24"/>
          <w:szCs w:val="24"/>
        </w:rPr>
      </w:pPr>
      <w:r w:rsidRPr="00617DF3">
        <w:rPr>
          <w:rFonts w:ascii="Times New Roman" w:hAnsi="Times New Roman" w:cs="Times New Roman"/>
          <w:b/>
          <w:bCs/>
          <w:sz w:val="24"/>
          <w:szCs w:val="24"/>
        </w:rPr>
        <w:t>Resumen</w:t>
      </w:r>
    </w:p>
    <w:p w14:paraId="370D4615" w14:textId="77777777" w:rsidR="003C6959" w:rsidRPr="00617DF3" w:rsidRDefault="003C6959" w:rsidP="003C6959">
      <w:pPr>
        <w:spacing w:after="0" w:line="240" w:lineRule="auto"/>
        <w:jc w:val="both"/>
        <w:rPr>
          <w:rFonts w:ascii="Times New Roman" w:hAnsi="Times New Roman" w:cs="Times New Roman"/>
          <w:sz w:val="24"/>
          <w:szCs w:val="24"/>
        </w:rPr>
      </w:pPr>
    </w:p>
    <w:p w14:paraId="18A37577" w14:textId="35272F26" w:rsidR="004A5311" w:rsidRPr="00617DF3" w:rsidRDefault="004A5311" w:rsidP="003C6959">
      <w:pPr>
        <w:spacing w:after="0" w:line="240" w:lineRule="auto"/>
        <w:jc w:val="both"/>
        <w:rPr>
          <w:rFonts w:ascii="Times New Roman" w:hAnsi="Times New Roman" w:cs="Times New Roman"/>
          <w:sz w:val="24"/>
          <w:szCs w:val="24"/>
        </w:rPr>
      </w:pPr>
      <w:r w:rsidRPr="00617DF3">
        <w:rPr>
          <w:rFonts w:ascii="Times New Roman" w:hAnsi="Times New Roman" w:cs="Times New Roman"/>
          <w:sz w:val="24"/>
          <w:szCs w:val="24"/>
        </w:rPr>
        <w:t>El neuromarketing aplica principios de la neurociencia y la psicología al marketing para comprender respuestas no conscientes de los consumidores ante productos y publicidad. Emplea herramientas como el seguimiento ocular</w:t>
      </w:r>
      <w:r w:rsidR="00C112C4" w:rsidRPr="00617DF3">
        <w:rPr>
          <w:rFonts w:ascii="Times New Roman" w:hAnsi="Times New Roman" w:cs="Times New Roman"/>
          <w:sz w:val="24"/>
          <w:szCs w:val="24"/>
        </w:rPr>
        <w:t xml:space="preserve"> </w:t>
      </w:r>
      <w:r w:rsidR="007C501D" w:rsidRPr="00617DF3">
        <w:rPr>
          <w:rFonts w:ascii="Times New Roman" w:hAnsi="Times New Roman" w:cs="Times New Roman"/>
          <w:sz w:val="24"/>
          <w:szCs w:val="24"/>
        </w:rPr>
        <w:t>(</w:t>
      </w:r>
      <w:proofErr w:type="spellStart"/>
      <w:r w:rsidR="00C112C4" w:rsidRPr="00617DF3">
        <w:rPr>
          <w:rFonts w:ascii="Times New Roman" w:hAnsi="Times New Roman" w:cs="Times New Roman"/>
          <w:sz w:val="24"/>
          <w:szCs w:val="24"/>
        </w:rPr>
        <w:t>eye</w:t>
      </w:r>
      <w:proofErr w:type="spellEnd"/>
      <w:r w:rsidR="00C112C4" w:rsidRPr="00617DF3">
        <w:rPr>
          <w:rFonts w:ascii="Times New Roman" w:hAnsi="Times New Roman" w:cs="Times New Roman"/>
          <w:sz w:val="24"/>
          <w:szCs w:val="24"/>
        </w:rPr>
        <w:t>-tracking</w:t>
      </w:r>
      <w:r w:rsidR="007C501D" w:rsidRPr="00617DF3">
        <w:rPr>
          <w:rFonts w:ascii="Times New Roman" w:hAnsi="Times New Roman" w:cs="Times New Roman"/>
          <w:sz w:val="24"/>
          <w:szCs w:val="24"/>
        </w:rPr>
        <w:t>)</w:t>
      </w:r>
      <w:r w:rsidRPr="00617DF3">
        <w:rPr>
          <w:rFonts w:ascii="Times New Roman" w:hAnsi="Times New Roman" w:cs="Times New Roman"/>
          <w:sz w:val="24"/>
          <w:szCs w:val="24"/>
        </w:rPr>
        <w:t>, la electroencefalografía, la resonancia magnética funcional</w:t>
      </w:r>
      <w:r w:rsidR="00127147" w:rsidRPr="00617DF3">
        <w:rPr>
          <w:rFonts w:ascii="Times New Roman" w:hAnsi="Times New Roman" w:cs="Times New Roman"/>
          <w:sz w:val="24"/>
          <w:szCs w:val="24"/>
        </w:rPr>
        <w:t xml:space="preserve"> (</w:t>
      </w:r>
      <w:proofErr w:type="spellStart"/>
      <w:r w:rsidR="00127147" w:rsidRPr="00617DF3">
        <w:rPr>
          <w:rFonts w:ascii="Times New Roman" w:hAnsi="Times New Roman" w:cs="Times New Roman"/>
          <w:sz w:val="24"/>
          <w:szCs w:val="24"/>
        </w:rPr>
        <w:t>fMRI</w:t>
      </w:r>
      <w:proofErr w:type="spellEnd"/>
      <w:r w:rsidR="00127147" w:rsidRPr="00617DF3">
        <w:rPr>
          <w:rFonts w:ascii="Times New Roman" w:hAnsi="Times New Roman" w:cs="Times New Roman"/>
          <w:sz w:val="24"/>
          <w:szCs w:val="24"/>
        </w:rPr>
        <w:t>)</w:t>
      </w:r>
      <w:r w:rsidRPr="00617DF3">
        <w:rPr>
          <w:rFonts w:ascii="Times New Roman" w:hAnsi="Times New Roman" w:cs="Times New Roman"/>
          <w:sz w:val="24"/>
          <w:szCs w:val="24"/>
        </w:rPr>
        <w:t xml:space="preserve"> y sensores biométricos (p. ej., respuesta galvánica de la piel, frecuencia cardíaca) para medir la actividad cerebral y reacciones fisiológicas. Este estudio demuestra cómo la integración de estas técnicas en la enseñanza de investigación de mercados favorece niveles superiores de aprendizaje (taxonomía de Bloom) y mejora tanto el valor percibido del aprendizaje como la experiencia educativa.</w:t>
      </w:r>
    </w:p>
    <w:p w14:paraId="54A8B1BF" w14:textId="77777777" w:rsidR="00BE1664" w:rsidRPr="00617DF3" w:rsidRDefault="00BE1664" w:rsidP="003C6959">
      <w:pPr>
        <w:spacing w:after="0" w:line="240" w:lineRule="auto"/>
        <w:jc w:val="both"/>
        <w:rPr>
          <w:rFonts w:ascii="Times New Roman" w:hAnsi="Times New Roman" w:cs="Times New Roman"/>
          <w:b/>
          <w:bCs/>
          <w:sz w:val="24"/>
          <w:szCs w:val="24"/>
        </w:rPr>
      </w:pPr>
    </w:p>
    <w:p w14:paraId="2ECA5DF2" w14:textId="3B4886D1" w:rsidR="00BE1664" w:rsidRPr="00617DF3" w:rsidRDefault="00BE1664" w:rsidP="003C6959">
      <w:pPr>
        <w:spacing w:after="0" w:line="240" w:lineRule="auto"/>
        <w:jc w:val="both"/>
        <w:rPr>
          <w:rFonts w:ascii="Times New Roman" w:hAnsi="Times New Roman" w:cs="Times New Roman"/>
          <w:sz w:val="24"/>
          <w:szCs w:val="24"/>
        </w:rPr>
      </w:pPr>
      <w:r w:rsidRPr="00617DF3">
        <w:rPr>
          <w:rFonts w:ascii="Times New Roman" w:hAnsi="Times New Roman" w:cs="Times New Roman"/>
          <w:b/>
          <w:bCs/>
          <w:sz w:val="24"/>
          <w:szCs w:val="24"/>
        </w:rPr>
        <w:t xml:space="preserve">Palabras clave: </w:t>
      </w:r>
      <w:r w:rsidRPr="00617DF3">
        <w:rPr>
          <w:rFonts w:ascii="Times New Roman" w:hAnsi="Times New Roman" w:cs="Times New Roman"/>
          <w:sz w:val="24"/>
          <w:szCs w:val="24"/>
        </w:rPr>
        <w:t>neuromarketing; respuesta galvánica de la piel; seguimiento ocular; taxonomía de Bloom; aprendizaje experiencial</w:t>
      </w:r>
    </w:p>
    <w:p w14:paraId="628D1EBB" w14:textId="77777777" w:rsidR="000B3AFB" w:rsidRPr="00617DF3" w:rsidRDefault="000B3AFB" w:rsidP="003C6959">
      <w:pPr>
        <w:spacing w:after="0" w:line="240" w:lineRule="auto"/>
        <w:jc w:val="both"/>
        <w:rPr>
          <w:rFonts w:ascii="Times New Roman" w:hAnsi="Times New Roman" w:cs="Times New Roman"/>
          <w:b/>
          <w:bCs/>
          <w:sz w:val="24"/>
          <w:szCs w:val="24"/>
        </w:rPr>
      </w:pPr>
    </w:p>
    <w:p w14:paraId="35C1BA05" w14:textId="244BE193" w:rsidR="00E01A6B" w:rsidRPr="00617DF3" w:rsidRDefault="00E01A6B" w:rsidP="003C6959">
      <w:pPr>
        <w:spacing w:after="0" w:line="240" w:lineRule="auto"/>
        <w:jc w:val="both"/>
        <w:rPr>
          <w:rFonts w:ascii="Times New Roman" w:hAnsi="Times New Roman" w:cs="Times New Roman"/>
          <w:b/>
          <w:bCs/>
          <w:sz w:val="24"/>
          <w:szCs w:val="24"/>
          <w:lang w:val="en-US"/>
        </w:rPr>
      </w:pPr>
      <w:r w:rsidRPr="00617DF3">
        <w:rPr>
          <w:rFonts w:ascii="Times New Roman" w:hAnsi="Times New Roman" w:cs="Times New Roman"/>
          <w:b/>
          <w:bCs/>
          <w:sz w:val="24"/>
          <w:szCs w:val="24"/>
          <w:lang w:val="en-US"/>
        </w:rPr>
        <w:t xml:space="preserve">Abstract </w:t>
      </w:r>
    </w:p>
    <w:p w14:paraId="4C4AAA2A" w14:textId="77777777" w:rsidR="00E01A6B" w:rsidRPr="00617DF3" w:rsidRDefault="00E01A6B" w:rsidP="003C6959">
      <w:pPr>
        <w:spacing w:after="0" w:line="240" w:lineRule="auto"/>
        <w:jc w:val="both"/>
        <w:rPr>
          <w:rFonts w:ascii="Times New Roman" w:hAnsi="Times New Roman" w:cs="Times New Roman"/>
          <w:sz w:val="24"/>
          <w:szCs w:val="24"/>
          <w:lang w:val="en-US"/>
        </w:rPr>
      </w:pPr>
    </w:p>
    <w:p w14:paraId="080AB8EB" w14:textId="0BD9D483" w:rsidR="00353B98" w:rsidRPr="00617DF3" w:rsidRDefault="00353B98" w:rsidP="0061135D">
      <w:pPr>
        <w:spacing w:after="0" w:line="240" w:lineRule="auto"/>
        <w:jc w:val="both"/>
        <w:rPr>
          <w:rFonts w:ascii="Times New Roman" w:hAnsi="Times New Roman" w:cs="Times New Roman"/>
          <w:sz w:val="24"/>
          <w:szCs w:val="24"/>
          <w:lang w:val="en-US"/>
        </w:rPr>
      </w:pPr>
      <w:r w:rsidRPr="00617DF3">
        <w:rPr>
          <w:rFonts w:ascii="Times New Roman" w:hAnsi="Times New Roman" w:cs="Times New Roman"/>
          <w:sz w:val="24"/>
          <w:szCs w:val="24"/>
          <w:lang w:val="en-US"/>
        </w:rPr>
        <w:t>Neuromarketing applies principles from neuroscience and psychology to marketing to understand consumers’ non-conscious responses to products and advertising. It employs instruments such as eye-tracking, electroencephalography, functional magnetic resonance imaging, and biometric sensors (e.g., galvanic skin response, heart rate) to capture neural activity and physiological reactions. This study demonstrates that integrating these techniques into market</w:t>
      </w:r>
      <w:r w:rsidR="00685242" w:rsidRPr="00617DF3">
        <w:rPr>
          <w:rFonts w:ascii="Times New Roman" w:hAnsi="Times New Roman" w:cs="Times New Roman"/>
          <w:sz w:val="24"/>
          <w:szCs w:val="24"/>
          <w:lang w:val="en-US"/>
        </w:rPr>
        <w:t xml:space="preserve"> </w:t>
      </w:r>
      <w:r w:rsidRPr="00617DF3">
        <w:rPr>
          <w:rFonts w:ascii="Times New Roman" w:hAnsi="Times New Roman" w:cs="Times New Roman"/>
          <w:sz w:val="24"/>
          <w:szCs w:val="24"/>
          <w:lang w:val="en-US"/>
        </w:rPr>
        <w:t xml:space="preserve">research pedagogy fosters higher-order learning </w:t>
      </w:r>
      <w:r w:rsidR="00813FC9" w:rsidRPr="00617DF3">
        <w:rPr>
          <w:rFonts w:ascii="Times New Roman" w:hAnsi="Times New Roman" w:cs="Times New Roman"/>
          <w:sz w:val="24"/>
          <w:szCs w:val="24"/>
          <w:lang w:val="en-US"/>
        </w:rPr>
        <w:t>(</w:t>
      </w:r>
      <w:r w:rsidRPr="00617DF3">
        <w:rPr>
          <w:rFonts w:ascii="Times New Roman" w:hAnsi="Times New Roman" w:cs="Times New Roman"/>
          <w:sz w:val="24"/>
          <w:szCs w:val="24"/>
          <w:lang w:val="en-US"/>
        </w:rPr>
        <w:t>Bloom’s taxonomy</w:t>
      </w:r>
      <w:r w:rsidR="00D83CD1" w:rsidRPr="00617DF3">
        <w:rPr>
          <w:rFonts w:ascii="Times New Roman" w:hAnsi="Times New Roman" w:cs="Times New Roman"/>
          <w:sz w:val="24"/>
          <w:szCs w:val="24"/>
          <w:lang w:val="en-US"/>
        </w:rPr>
        <w:t>)</w:t>
      </w:r>
      <w:r w:rsidRPr="00617DF3">
        <w:rPr>
          <w:rFonts w:ascii="Times New Roman" w:hAnsi="Times New Roman" w:cs="Times New Roman"/>
          <w:sz w:val="24"/>
          <w:szCs w:val="24"/>
          <w:lang w:val="en-US"/>
        </w:rPr>
        <w:t xml:space="preserve"> and enhances both the perceived </w:t>
      </w:r>
      <w:r w:rsidR="00813FC9" w:rsidRPr="00617DF3">
        <w:rPr>
          <w:rFonts w:ascii="Times New Roman" w:hAnsi="Times New Roman" w:cs="Times New Roman"/>
          <w:sz w:val="24"/>
          <w:szCs w:val="24"/>
          <w:lang w:val="en-US"/>
        </w:rPr>
        <w:t xml:space="preserve">learning </w:t>
      </w:r>
      <w:r w:rsidRPr="00617DF3">
        <w:rPr>
          <w:rFonts w:ascii="Times New Roman" w:hAnsi="Times New Roman" w:cs="Times New Roman"/>
          <w:sz w:val="24"/>
          <w:szCs w:val="24"/>
          <w:lang w:val="en-US"/>
        </w:rPr>
        <w:t>value and the overall educational experience.</w:t>
      </w:r>
    </w:p>
    <w:p w14:paraId="23C445D8" w14:textId="77777777" w:rsidR="00E01A6B" w:rsidRPr="00617DF3" w:rsidRDefault="00E01A6B" w:rsidP="003C6959">
      <w:pPr>
        <w:spacing w:after="0" w:line="240" w:lineRule="auto"/>
        <w:jc w:val="both"/>
        <w:rPr>
          <w:rFonts w:ascii="Times New Roman" w:hAnsi="Times New Roman" w:cs="Times New Roman"/>
          <w:sz w:val="24"/>
          <w:szCs w:val="24"/>
          <w:lang w:val="en-US"/>
        </w:rPr>
      </w:pPr>
    </w:p>
    <w:p w14:paraId="243DD746" w14:textId="6C63E79A" w:rsidR="00E01A6B" w:rsidRPr="00617DF3" w:rsidRDefault="00E01A6B" w:rsidP="003C6959">
      <w:pPr>
        <w:spacing w:after="0" w:line="240" w:lineRule="auto"/>
        <w:jc w:val="both"/>
        <w:rPr>
          <w:rFonts w:ascii="Times New Roman" w:hAnsi="Times New Roman" w:cs="Times New Roman"/>
          <w:sz w:val="24"/>
          <w:szCs w:val="24"/>
          <w:lang w:val="en-US"/>
        </w:rPr>
      </w:pPr>
      <w:r w:rsidRPr="00617DF3">
        <w:rPr>
          <w:rFonts w:ascii="Times New Roman" w:hAnsi="Times New Roman" w:cs="Times New Roman"/>
          <w:b/>
          <w:bCs/>
          <w:sz w:val="24"/>
          <w:szCs w:val="24"/>
          <w:lang w:val="en-US"/>
        </w:rPr>
        <w:t>Keywords:</w:t>
      </w:r>
      <w:r w:rsidRPr="00617DF3">
        <w:rPr>
          <w:rFonts w:ascii="Times New Roman" w:hAnsi="Times New Roman" w:cs="Times New Roman"/>
          <w:sz w:val="24"/>
          <w:szCs w:val="24"/>
          <w:lang w:val="en-US"/>
        </w:rPr>
        <w:t xml:space="preserve"> </w:t>
      </w:r>
      <w:r w:rsidR="00534D27" w:rsidRPr="00617DF3">
        <w:rPr>
          <w:rFonts w:ascii="Times New Roman" w:hAnsi="Times New Roman" w:cs="Times New Roman"/>
          <w:sz w:val="24"/>
          <w:szCs w:val="24"/>
          <w:lang w:val="en-US"/>
        </w:rPr>
        <w:t>n</w:t>
      </w:r>
      <w:r w:rsidRPr="00617DF3">
        <w:rPr>
          <w:rFonts w:ascii="Times New Roman" w:hAnsi="Times New Roman" w:cs="Times New Roman"/>
          <w:sz w:val="24"/>
          <w:szCs w:val="24"/>
          <w:lang w:val="en-US"/>
        </w:rPr>
        <w:t>euromarketing</w:t>
      </w:r>
      <w:r w:rsidR="00534D27" w:rsidRPr="00617DF3">
        <w:rPr>
          <w:rFonts w:ascii="Times New Roman" w:hAnsi="Times New Roman" w:cs="Times New Roman"/>
          <w:sz w:val="24"/>
          <w:szCs w:val="24"/>
          <w:lang w:val="en-US"/>
        </w:rPr>
        <w:t>;</w:t>
      </w:r>
      <w:r w:rsidRPr="00617DF3">
        <w:rPr>
          <w:rFonts w:ascii="Times New Roman" w:hAnsi="Times New Roman" w:cs="Times New Roman"/>
          <w:sz w:val="24"/>
          <w:szCs w:val="24"/>
          <w:lang w:val="en-US"/>
        </w:rPr>
        <w:t xml:space="preserve"> </w:t>
      </w:r>
      <w:r w:rsidR="0020260E" w:rsidRPr="00617DF3">
        <w:rPr>
          <w:rFonts w:ascii="Times New Roman" w:hAnsi="Times New Roman" w:cs="Times New Roman"/>
          <w:sz w:val="24"/>
          <w:szCs w:val="24"/>
          <w:lang w:val="en-US"/>
        </w:rPr>
        <w:t>g</w:t>
      </w:r>
      <w:r w:rsidR="00673184" w:rsidRPr="00617DF3">
        <w:rPr>
          <w:rFonts w:ascii="Times New Roman" w:hAnsi="Times New Roman" w:cs="Times New Roman"/>
          <w:sz w:val="24"/>
          <w:szCs w:val="24"/>
          <w:lang w:val="en-US"/>
        </w:rPr>
        <w:t xml:space="preserve">alvanic </w:t>
      </w:r>
      <w:r w:rsidR="0020260E" w:rsidRPr="00617DF3">
        <w:rPr>
          <w:rFonts w:ascii="Times New Roman" w:hAnsi="Times New Roman" w:cs="Times New Roman"/>
          <w:sz w:val="24"/>
          <w:szCs w:val="24"/>
          <w:lang w:val="en-US"/>
        </w:rPr>
        <w:t>s</w:t>
      </w:r>
      <w:r w:rsidR="00673184" w:rsidRPr="00617DF3">
        <w:rPr>
          <w:rFonts w:ascii="Times New Roman" w:hAnsi="Times New Roman" w:cs="Times New Roman"/>
          <w:sz w:val="24"/>
          <w:szCs w:val="24"/>
          <w:lang w:val="en-US"/>
        </w:rPr>
        <w:t xml:space="preserve">kin </w:t>
      </w:r>
      <w:r w:rsidR="0020260E" w:rsidRPr="00617DF3">
        <w:rPr>
          <w:rFonts w:ascii="Times New Roman" w:hAnsi="Times New Roman" w:cs="Times New Roman"/>
          <w:sz w:val="24"/>
          <w:szCs w:val="24"/>
          <w:lang w:val="en-US"/>
        </w:rPr>
        <w:t>r</w:t>
      </w:r>
      <w:r w:rsidR="00673184" w:rsidRPr="00617DF3">
        <w:rPr>
          <w:rFonts w:ascii="Times New Roman" w:hAnsi="Times New Roman" w:cs="Times New Roman"/>
          <w:sz w:val="24"/>
          <w:szCs w:val="24"/>
          <w:lang w:val="en-US"/>
        </w:rPr>
        <w:t>esponse</w:t>
      </w:r>
      <w:r w:rsidR="00534D27" w:rsidRPr="00617DF3">
        <w:rPr>
          <w:rFonts w:ascii="Times New Roman" w:hAnsi="Times New Roman" w:cs="Times New Roman"/>
          <w:sz w:val="24"/>
          <w:szCs w:val="24"/>
          <w:lang w:val="en-US"/>
        </w:rPr>
        <w:t>;</w:t>
      </w:r>
      <w:r w:rsidR="00673184" w:rsidRPr="00617DF3">
        <w:rPr>
          <w:rFonts w:ascii="Times New Roman" w:hAnsi="Times New Roman" w:cs="Times New Roman"/>
          <w:sz w:val="24"/>
          <w:szCs w:val="24"/>
          <w:lang w:val="en-US"/>
        </w:rPr>
        <w:t xml:space="preserve"> </w:t>
      </w:r>
      <w:r w:rsidR="0020260E" w:rsidRPr="00617DF3">
        <w:rPr>
          <w:rFonts w:ascii="Times New Roman" w:hAnsi="Times New Roman" w:cs="Times New Roman"/>
          <w:sz w:val="24"/>
          <w:szCs w:val="24"/>
          <w:lang w:val="en-US"/>
        </w:rPr>
        <w:t>e</w:t>
      </w:r>
      <w:r w:rsidR="00673184" w:rsidRPr="00617DF3">
        <w:rPr>
          <w:rFonts w:ascii="Times New Roman" w:hAnsi="Times New Roman" w:cs="Times New Roman"/>
          <w:sz w:val="24"/>
          <w:szCs w:val="24"/>
          <w:lang w:val="en-US"/>
        </w:rPr>
        <w:t xml:space="preserve">ye </w:t>
      </w:r>
      <w:r w:rsidR="0020260E" w:rsidRPr="00617DF3">
        <w:rPr>
          <w:rFonts w:ascii="Times New Roman" w:hAnsi="Times New Roman" w:cs="Times New Roman"/>
          <w:sz w:val="24"/>
          <w:szCs w:val="24"/>
          <w:lang w:val="en-US"/>
        </w:rPr>
        <w:t>t</w:t>
      </w:r>
      <w:r w:rsidR="00673184" w:rsidRPr="00617DF3">
        <w:rPr>
          <w:rFonts w:ascii="Times New Roman" w:hAnsi="Times New Roman" w:cs="Times New Roman"/>
          <w:sz w:val="24"/>
          <w:szCs w:val="24"/>
          <w:lang w:val="en-US"/>
        </w:rPr>
        <w:t>racking</w:t>
      </w:r>
      <w:r w:rsidR="00534D27" w:rsidRPr="00617DF3">
        <w:rPr>
          <w:rFonts w:ascii="Times New Roman" w:hAnsi="Times New Roman" w:cs="Times New Roman"/>
          <w:sz w:val="24"/>
          <w:szCs w:val="24"/>
          <w:lang w:val="en-US"/>
        </w:rPr>
        <w:t>;</w:t>
      </w:r>
      <w:r w:rsidR="00673184" w:rsidRPr="00617DF3">
        <w:rPr>
          <w:rFonts w:ascii="Times New Roman" w:hAnsi="Times New Roman" w:cs="Times New Roman"/>
          <w:sz w:val="24"/>
          <w:szCs w:val="24"/>
          <w:lang w:val="en-US"/>
        </w:rPr>
        <w:t xml:space="preserve"> Bloom</w:t>
      </w:r>
      <w:r w:rsidR="00DE5BA0" w:rsidRPr="00617DF3">
        <w:rPr>
          <w:rFonts w:ascii="Times New Roman" w:hAnsi="Times New Roman" w:cs="Times New Roman"/>
          <w:sz w:val="24"/>
          <w:szCs w:val="24"/>
          <w:lang w:val="en-US"/>
        </w:rPr>
        <w:t>’</w:t>
      </w:r>
      <w:r w:rsidR="00673184" w:rsidRPr="00617DF3">
        <w:rPr>
          <w:rFonts w:ascii="Times New Roman" w:hAnsi="Times New Roman" w:cs="Times New Roman"/>
          <w:sz w:val="24"/>
          <w:szCs w:val="24"/>
          <w:lang w:val="en-US"/>
        </w:rPr>
        <w:t>s taxonomy</w:t>
      </w:r>
      <w:r w:rsidR="0020260E" w:rsidRPr="00617DF3">
        <w:rPr>
          <w:rFonts w:ascii="Times New Roman" w:hAnsi="Times New Roman" w:cs="Times New Roman"/>
          <w:sz w:val="24"/>
          <w:szCs w:val="24"/>
          <w:lang w:val="en-US"/>
        </w:rPr>
        <w:t>;</w:t>
      </w:r>
      <w:r w:rsidR="00673184" w:rsidRPr="00617DF3">
        <w:rPr>
          <w:rFonts w:ascii="Times New Roman" w:hAnsi="Times New Roman" w:cs="Times New Roman"/>
          <w:sz w:val="24"/>
          <w:szCs w:val="24"/>
          <w:lang w:val="en-US"/>
        </w:rPr>
        <w:t xml:space="preserve"> </w:t>
      </w:r>
      <w:r w:rsidR="00602A0E" w:rsidRPr="00617DF3">
        <w:rPr>
          <w:rFonts w:ascii="Times New Roman" w:hAnsi="Times New Roman" w:cs="Times New Roman"/>
          <w:sz w:val="24"/>
          <w:szCs w:val="24"/>
          <w:lang w:val="en-US"/>
        </w:rPr>
        <w:t>experiential</w:t>
      </w:r>
      <w:r w:rsidR="005771C4" w:rsidRPr="00617DF3">
        <w:rPr>
          <w:rFonts w:ascii="Times New Roman" w:hAnsi="Times New Roman" w:cs="Times New Roman"/>
          <w:sz w:val="24"/>
          <w:szCs w:val="24"/>
          <w:lang w:val="en-US"/>
        </w:rPr>
        <w:t xml:space="preserve"> learning</w:t>
      </w:r>
    </w:p>
    <w:p w14:paraId="1E00DE7B" w14:textId="77777777" w:rsidR="00656930" w:rsidRPr="00617DF3" w:rsidRDefault="00656930" w:rsidP="003C6959">
      <w:pPr>
        <w:spacing w:after="0" w:line="240" w:lineRule="auto"/>
        <w:rPr>
          <w:rFonts w:ascii="Times New Roman" w:hAnsi="Times New Roman" w:cs="Times New Roman"/>
          <w:sz w:val="24"/>
          <w:szCs w:val="24"/>
          <w:lang w:val="en-US"/>
        </w:rPr>
      </w:pPr>
    </w:p>
    <w:p w14:paraId="0F07F019" w14:textId="77777777" w:rsidR="003C6959" w:rsidRPr="00617DF3" w:rsidRDefault="003C6959">
      <w:pPr>
        <w:rPr>
          <w:rFonts w:ascii="Times New Roman" w:hAnsi="Times New Roman" w:cs="Times New Roman"/>
          <w:b/>
          <w:bCs/>
          <w:sz w:val="24"/>
          <w:szCs w:val="24"/>
        </w:rPr>
      </w:pPr>
      <w:r w:rsidRPr="00617DF3">
        <w:rPr>
          <w:rFonts w:ascii="Times New Roman" w:hAnsi="Times New Roman" w:cs="Times New Roman"/>
          <w:b/>
          <w:bCs/>
          <w:sz w:val="24"/>
          <w:szCs w:val="24"/>
        </w:rPr>
        <w:br w:type="page"/>
      </w:r>
    </w:p>
    <w:p w14:paraId="4FDF2D97" w14:textId="134667C7" w:rsidR="00CE2079" w:rsidRPr="00617DF3" w:rsidRDefault="00CE2079" w:rsidP="003C6959">
      <w:pPr>
        <w:spacing w:after="0" w:line="240" w:lineRule="auto"/>
        <w:jc w:val="center"/>
        <w:rPr>
          <w:rFonts w:ascii="Times New Roman" w:hAnsi="Times New Roman" w:cs="Times New Roman"/>
          <w:b/>
          <w:bCs/>
          <w:sz w:val="24"/>
          <w:szCs w:val="24"/>
        </w:rPr>
      </w:pPr>
      <w:r w:rsidRPr="00617DF3">
        <w:rPr>
          <w:rFonts w:ascii="Times New Roman" w:hAnsi="Times New Roman" w:cs="Times New Roman"/>
          <w:b/>
          <w:bCs/>
          <w:sz w:val="24"/>
          <w:szCs w:val="24"/>
        </w:rPr>
        <w:lastRenderedPageBreak/>
        <w:t>Introduc</w:t>
      </w:r>
      <w:r w:rsidR="00B158AE" w:rsidRPr="00617DF3">
        <w:rPr>
          <w:rFonts w:ascii="Times New Roman" w:hAnsi="Times New Roman" w:cs="Times New Roman"/>
          <w:b/>
          <w:bCs/>
          <w:sz w:val="24"/>
          <w:szCs w:val="24"/>
        </w:rPr>
        <w:t>ción</w:t>
      </w:r>
    </w:p>
    <w:p w14:paraId="62DF8B2A" w14:textId="77777777" w:rsidR="004918F0" w:rsidRPr="00617DF3" w:rsidRDefault="004918F0" w:rsidP="003C6959">
      <w:pPr>
        <w:spacing w:after="0" w:line="240" w:lineRule="auto"/>
        <w:jc w:val="center"/>
        <w:rPr>
          <w:rFonts w:ascii="Times New Roman" w:hAnsi="Times New Roman" w:cs="Times New Roman"/>
          <w:b/>
          <w:bCs/>
          <w:sz w:val="24"/>
          <w:szCs w:val="24"/>
        </w:rPr>
      </w:pPr>
    </w:p>
    <w:p w14:paraId="04156F77" w14:textId="1A8AA263" w:rsidR="00006C64" w:rsidRPr="00617DF3" w:rsidRDefault="004918F0" w:rsidP="0061135D">
      <w:pPr>
        <w:spacing w:after="0" w:line="240" w:lineRule="auto"/>
        <w:ind w:firstLine="708"/>
        <w:jc w:val="both"/>
        <w:rPr>
          <w:rFonts w:ascii="Times New Roman" w:hAnsi="Times New Roman" w:cs="Times New Roman"/>
          <w:sz w:val="24"/>
          <w:szCs w:val="24"/>
        </w:rPr>
      </w:pPr>
      <w:r w:rsidRPr="00617DF3">
        <w:rPr>
          <w:rFonts w:ascii="Times New Roman" w:hAnsi="Times New Roman" w:cs="Times New Roman"/>
          <w:sz w:val="24"/>
          <w:szCs w:val="24"/>
        </w:rPr>
        <w:t>La literatura reciente co</w:t>
      </w:r>
      <w:r w:rsidR="000E2AC1" w:rsidRPr="00617DF3">
        <w:rPr>
          <w:rFonts w:ascii="Times New Roman" w:hAnsi="Times New Roman" w:cs="Times New Roman"/>
          <w:sz w:val="24"/>
          <w:szCs w:val="24"/>
        </w:rPr>
        <w:t>incide</w:t>
      </w:r>
      <w:r w:rsidRPr="00617DF3">
        <w:rPr>
          <w:rFonts w:ascii="Times New Roman" w:hAnsi="Times New Roman" w:cs="Times New Roman"/>
          <w:sz w:val="24"/>
          <w:szCs w:val="24"/>
        </w:rPr>
        <w:t xml:space="preserve"> en que la comprensión de los fundamentos neurobiológicos del aprendizaje ha consolidado</w:t>
      </w:r>
      <w:r w:rsidR="000E2AC1" w:rsidRPr="00617DF3">
        <w:rPr>
          <w:rFonts w:ascii="Times New Roman" w:hAnsi="Times New Roman" w:cs="Times New Roman"/>
          <w:sz w:val="24"/>
          <w:szCs w:val="24"/>
        </w:rPr>
        <w:t xml:space="preserve"> </w:t>
      </w:r>
      <w:r w:rsidRPr="00617DF3">
        <w:rPr>
          <w:rFonts w:ascii="Times New Roman" w:hAnsi="Times New Roman" w:cs="Times New Roman"/>
          <w:sz w:val="24"/>
          <w:szCs w:val="24"/>
        </w:rPr>
        <w:t xml:space="preserve">la neurociencia como un eje articulador de innovaciones pedagógicas, particularmente cuando se integra con </w:t>
      </w:r>
      <w:r w:rsidR="00D72355" w:rsidRPr="00617DF3">
        <w:rPr>
          <w:rFonts w:ascii="Times New Roman" w:hAnsi="Times New Roman" w:cs="Times New Roman"/>
          <w:sz w:val="24"/>
          <w:szCs w:val="24"/>
        </w:rPr>
        <w:t>aprendizajes</w:t>
      </w:r>
      <w:r w:rsidRPr="00617DF3">
        <w:rPr>
          <w:rFonts w:ascii="Times New Roman" w:hAnsi="Times New Roman" w:cs="Times New Roman"/>
          <w:sz w:val="24"/>
          <w:szCs w:val="24"/>
        </w:rPr>
        <w:t xml:space="preserve"> activos centrados en el estudiante (Harris et al., 2018</w:t>
      </w:r>
      <w:r w:rsidR="00810B9D" w:rsidRPr="00617DF3">
        <w:rPr>
          <w:rFonts w:ascii="Times New Roman" w:hAnsi="Times New Roman" w:cs="Times New Roman"/>
          <w:sz w:val="24"/>
          <w:szCs w:val="24"/>
        </w:rPr>
        <w:t>; Martínez-Castrejón, 2025</w:t>
      </w:r>
      <w:r w:rsidRPr="00617DF3">
        <w:rPr>
          <w:rFonts w:ascii="Times New Roman" w:hAnsi="Times New Roman" w:cs="Times New Roman"/>
          <w:sz w:val="24"/>
          <w:szCs w:val="24"/>
        </w:rPr>
        <w:t xml:space="preserve">). </w:t>
      </w:r>
      <w:r w:rsidR="00006C64" w:rsidRPr="00617DF3">
        <w:rPr>
          <w:rFonts w:ascii="Times New Roman" w:hAnsi="Times New Roman" w:cs="Times New Roman"/>
          <w:sz w:val="24"/>
          <w:szCs w:val="24"/>
        </w:rPr>
        <w:t>El neuromarketing</w:t>
      </w:r>
      <w:r w:rsidR="00683C28" w:rsidRPr="00617DF3">
        <w:rPr>
          <w:rFonts w:ascii="Times New Roman" w:hAnsi="Times New Roman" w:cs="Times New Roman"/>
          <w:sz w:val="24"/>
          <w:szCs w:val="24"/>
        </w:rPr>
        <w:t xml:space="preserve"> </w:t>
      </w:r>
      <w:r w:rsidR="00006C64" w:rsidRPr="00617DF3">
        <w:rPr>
          <w:rFonts w:ascii="Times New Roman" w:hAnsi="Times New Roman" w:cs="Times New Roman"/>
          <w:sz w:val="24"/>
          <w:szCs w:val="24"/>
        </w:rPr>
        <w:t>adapta metodologías neurocientíficas y psicofisiológicas, entre ellas la electroencefalografía, el seguimiento ocular y los sensores biométricos, con el fin de examinar con precisión la atención, la emoción y la memoria ante estímulos de distinta naturaleza (</w:t>
      </w:r>
      <w:proofErr w:type="spellStart"/>
      <w:r w:rsidR="00006C64" w:rsidRPr="00617DF3">
        <w:rPr>
          <w:rFonts w:ascii="Times New Roman" w:hAnsi="Times New Roman" w:cs="Times New Roman"/>
          <w:sz w:val="24"/>
          <w:szCs w:val="24"/>
        </w:rPr>
        <w:t>Ababkova</w:t>
      </w:r>
      <w:proofErr w:type="spellEnd"/>
      <w:r w:rsidR="00006C64" w:rsidRPr="00617DF3">
        <w:rPr>
          <w:rFonts w:ascii="Times New Roman" w:hAnsi="Times New Roman" w:cs="Times New Roman"/>
          <w:sz w:val="24"/>
          <w:szCs w:val="24"/>
        </w:rPr>
        <w:t xml:space="preserve"> y </w:t>
      </w:r>
      <w:proofErr w:type="spellStart"/>
      <w:r w:rsidR="00006C64" w:rsidRPr="00617DF3">
        <w:rPr>
          <w:rFonts w:ascii="Times New Roman" w:hAnsi="Times New Roman" w:cs="Times New Roman"/>
          <w:sz w:val="24"/>
          <w:szCs w:val="24"/>
        </w:rPr>
        <w:t>Leontiev</w:t>
      </w:r>
      <w:r w:rsidR="00E1582B" w:rsidRPr="00617DF3">
        <w:rPr>
          <w:rFonts w:ascii="Times New Roman" w:hAnsi="Times New Roman" w:cs="Times New Roman"/>
          <w:sz w:val="24"/>
          <w:szCs w:val="24"/>
        </w:rPr>
        <w:t>a</w:t>
      </w:r>
      <w:proofErr w:type="spellEnd"/>
      <w:r w:rsidR="00006C64" w:rsidRPr="00617DF3">
        <w:rPr>
          <w:rFonts w:ascii="Times New Roman" w:hAnsi="Times New Roman" w:cs="Times New Roman"/>
          <w:sz w:val="24"/>
          <w:szCs w:val="24"/>
        </w:rPr>
        <w:t>, 2018). Las síntesis recientes han afinado su alcance, sus instrumentos centrales y sus desafíos metodológicos, y han puesto de relieve su potencial para ampliar el repertorio de herramientas analíticas disponibles en contextos formativos, particularmente en disciplinas de negocios y comunicación (Lim, 2018</w:t>
      </w:r>
      <w:r w:rsidR="00A8237F" w:rsidRPr="00617DF3">
        <w:rPr>
          <w:rFonts w:ascii="Times New Roman" w:hAnsi="Times New Roman" w:cs="Times New Roman"/>
          <w:sz w:val="24"/>
          <w:szCs w:val="24"/>
        </w:rPr>
        <w:t xml:space="preserve">; </w:t>
      </w:r>
      <w:proofErr w:type="spellStart"/>
      <w:r w:rsidR="00A8237F" w:rsidRPr="00617DF3">
        <w:rPr>
          <w:rFonts w:ascii="Times New Roman" w:hAnsi="Times New Roman" w:cs="Times New Roman"/>
          <w:sz w:val="24"/>
          <w:szCs w:val="24"/>
        </w:rPr>
        <w:t>McInnes</w:t>
      </w:r>
      <w:proofErr w:type="spellEnd"/>
      <w:r w:rsidR="00A8237F" w:rsidRPr="00617DF3">
        <w:rPr>
          <w:rFonts w:ascii="Times New Roman" w:hAnsi="Times New Roman" w:cs="Times New Roman"/>
          <w:sz w:val="24"/>
          <w:szCs w:val="24"/>
        </w:rPr>
        <w:t xml:space="preserve"> et al., 2023</w:t>
      </w:r>
      <w:r w:rsidR="00006C64" w:rsidRPr="00617DF3">
        <w:rPr>
          <w:rFonts w:ascii="Times New Roman" w:hAnsi="Times New Roman" w:cs="Times New Roman"/>
          <w:sz w:val="24"/>
          <w:szCs w:val="24"/>
        </w:rPr>
        <w:t>).</w:t>
      </w:r>
    </w:p>
    <w:p w14:paraId="4561E6F2" w14:textId="77777777" w:rsidR="00006C64" w:rsidRPr="00617DF3" w:rsidRDefault="00006C64" w:rsidP="003C6959">
      <w:pPr>
        <w:spacing w:after="0" w:line="240" w:lineRule="auto"/>
        <w:jc w:val="both"/>
        <w:rPr>
          <w:rFonts w:ascii="Times New Roman" w:hAnsi="Times New Roman" w:cs="Times New Roman"/>
          <w:sz w:val="24"/>
          <w:szCs w:val="24"/>
        </w:rPr>
      </w:pPr>
    </w:p>
    <w:p w14:paraId="155D0111" w14:textId="1CE709AF" w:rsidR="00DC45C6" w:rsidRPr="00617DF3" w:rsidRDefault="00006C64" w:rsidP="003C6959">
      <w:pPr>
        <w:spacing w:after="0" w:line="240" w:lineRule="auto"/>
        <w:jc w:val="both"/>
        <w:rPr>
          <w:rFonts w:ascii="Times New Roman" w:hAnsi="Times New Roman" w:cs="Times New Roman"/>
          <w:sz w:val="24"/>
          <w:szCs w:val="24"/>
        </w:rPr>
      </w:pPr>
      <w:r w:rsidRPr="00617DF3">
        <w:rPr>
          <w:rFonts w:ascii="Times New Roman" w:hAnsi="Times New Roman" w:cs="Times New Roman"/>
          <w:sz w:val="24"/>
          <w:szCs w:val="24"/>
        </w:rPr>
        <w:t>La relación del neuromarketing con la educación muestra que</w:t>
      </w:r>
      <w:r w:rsidR="00C522D6" w:rsidRPr="00617DF3">
        <w:rPr>
          <w:rFonts w:ascii="Times New Roman" w:hAnsi="Times New Roman" w:cs="Times New Roman"/>
          <w:sz w:val="24"/>
          <w:szCs w:val="24"/>
        </w:rPr>
        <w:t xml:space="preserve"> la analítica de la atención visual y de las respuestas afectivas </w:t>
      </w:r>
      <w:r w:rsidRPr="00617DF3">
        <w:rPr>
          <w:rFonts w:ascii="Times New Roman" w:hAnsi="Times New Roman" w:cs="Times New Roman"/>
          <w:sz w:val="24"/>
          <w:szCs w:val="24"/>
        </w:rPr>
        <w:t>resulta útil para mejorar la comunicación y la experiencia de los alumnos (</w:t>
      </w:r>
      <w:proofErr w:type="spellStart"/>
      <w:r w:rsidRPr="00617DF3">
        <w:rPr>
          <w:rFonts w:ascii="Times New Roman" w:hAnsi="Times New Roman" w:cs="Times New Roman"/>
          <w:sz w:val="24"/>
          <w:szCs w:val="24"/>
        </w:rPr>
        <w:t>Khondakar</w:t>
      </w:r>
      <w:proofErr w:type="spellEnd"/>
      <w:r w:rsidRPr="00617DF3">
        <w:rPr>
          <w:rFonts w:ascii="Times New Roman" w:hAnsi="Times New Roman" w:cs="Times New Roman"/>
          <w:sz w:val="24"/>
          <w:szCs w:val="24"/>
        </w:rPr>
        <w:t xml:space="preserve"> et al., 2024). Además, la integración de módulos de neuromarketing en planes de estudio ha mostrado efectos positivos </w:t>
      </w:r>
      <w:r w:rsidR="00D43248" w:rsidRPr="00617DF3">
        <w:rPr>
          <w:rFonts w:ascii="Times New Roman" w:hAnsi="Times New Roman" w:cs="Times New Roman"/>
          <w:sz w:val="24"/>
          <w:szCs w:val="24"/>
        </w:rPr>
        <w:t>(</w:t>
      </w:r>
      <w:r w:rsidR="00AC1D08" w:rsidRPr="00617DF3">
        <w:rPr>
          <w:rFonts w:ascii="Times New Roman" w:hAnsi="Times New Roman" w:cs="Times New Roman"/>
          <w:sz w:val="24"/>
          <w:szCs w:val="24"/>
        </w:rPr>
        <w:t>p. ej.</w:t>
      </w:r>
      <w:r w:rsidR="00E12865" w:rsidRPr="00617DF3">
        <w:rPr>
          <w:rFonts w:ascii="Times New Roman" w:hAnsi="Times New Roman" w:cs="Times New Roman"/>
          <w:sz w:val="24"/>
          <w:szCs w:val="24"/>
        </w:rPr>
        <w:t>,</w:t>
      </w:r>
      <w:r w:rsidR="00AC1D08" w:rsidRPr="00617DF3">
        <w:rPr>
          <w:rFonts w:ascii="Times New Roman" w:hAnsi="Times New Roman" w:cs="Times New Roman"/>
          <w:sz w:val="24"/>
          <w:szCs w:val="24"/>
        </w:rPr>
        <w:t xml:space="preserve"> estimulan el pensamiento serial, asociativo y unificador) </w:t>
      </w:r>
      <w:r w:rsidRPr="00617DF3">
        <w:rPr>
          <w:rFonts w:ascii="Times New Roman" w:hAnsi="Times New Roman" w:cs="Times New Roman"/>
          <w:sz w:val="24"/>
          <w:szCs w:val="24"/>
        </w:rPr>
        <w:t xml:space="preserve">en la comprensión </w:t>
      </w:r>
      <w:r w:rsidR="004E5D8C" w:rsidRPr="00617DF3">
        <w:rPr>
          <w:rFonts w:ascii="Times New Roman" w:hAnsi="Times New Roman" w:cs="Times New Roman"/>
          <w:sz w:val="24"/>
          <w:szCs w:val="24"/>
        </w:rPr>
        <w:t>y</w:t>
      </w:r>
      <w:r w:rsidRPr="00617DF3">
        <w:rPr>
          <w:rFonts w:ascii="Times New Roman" w:hAnsi="Times New Roman" w:cs="Times New Roman"/>
          <w:sz w:val="24"/>
          <w:szCs w:val="24"/>
        </w:rPr>
        <w:t xml:space="preserve"> en el aprendizaje (Dávalos Hernández, 2024).</w:t>
      </w:r>
      <w:r w:rsidR="00DC45C6" w:rsidRPr="00617DF3">
        <w:rPr>
          <w:rFonts w:ascii="Times New Roman" w:hAnsi="Times New Roman" w:cs="Times New Roman"/>
          <w:sz w:val="24"/>
          <w:szCs w:val="24"/>
        </w:rPr>
        <w:t xml:space="preserve"> Esta base empírica y técnica proporciona una plataforma idónea para estudiar cómo responde el estudiante a materiales, interfaces y mensajes, abriendo la puerta a mediciones objetivas de procesos experienciales.</w:t>
      </w:r>
    </w:p>
    <w:p w14:paraId="7D725430" w14:textId="2BFE9B14" w:rsidR="00FD7ACF" w:rsidRPr="00617DF3" w:rsidRDefault="00FD7ACF" w:rsidP="003C6959">
      <w:pPr>
        <w:spacing w:after="0" w:line="240" w:lineRule="auto"/>
        <w:jc w:val="both"/>
        <w:rPr>
          <w:rFonts w:ascii="Times New Roman" w:hAnsi="Times New Roman" w:cs="Times New Roman"/>
          <w:sz w:val="24"/>
          <w:szCs w:val="24"/>
        </w:rPr>
      </w:pPr>
    </w:p>
    <w:p w14:paraId="466808D7" w14:textId="72115418" w:rsidR="003C2BC9" w:rsidRPr="00617DF3" w:rsidRDefault="004918F0" w:rsidP="003C6959">
      <w:pPr>
        <w:spacing w:after="0" w:line="240" w:lineRule="auto"/>
        <w:jc w:val="both"/>
        <w:rPr>
          <w:rFonts w:ascii="Times New Roman" w:hAnsi="Times New Roman" w:cs="Times New Roman"/>
          <w:sz w:val="24"/>
          <w:szCs w:val="24"/>
        </w:rPr>
      </w:pPr>
      <w:r w:rsidRPr="00617DF3">
        <w:rPr>
          <w:rFonts w:ascii="Times New Roman" w:hAnsi="Times New Roman" w:cs="Times New Roman"/>
          <w:sz w:val="24"/>
          <w:szCs w:val="24"/>
        </w:rPr>
        <w:t xml:space="preserve">En paralelo, el aprendizaje experiencial, al articular experiencia concreta, reflexión, conceptualización y experimentación, ha mostrado efectos </w:t>
      </w:r>
      <w:r w:rsidR="007408A2" w:rsidRPr="00617DF3">
        <w:rPr>
          <w:rFonts w:ascii="Times New Roman" w:hAnsi="Times New Roman" w:cs="Times New Roman"/>
          <w:sz w:val="24"/>
          <w:szCs w:val="24"/>
        </w:rPr>
        <w:t>positivos en el desarrollo de</w:t>
      </w:r>
      <w:r w:rsidRPr="00617DF3">
        <w:rPr>
          <w:rFonts w:ascii="Times New Roman" w:hAnsi="Times New Roman" w:cs="Times New Roman"/>
          <w:sz w:val="24"/>
          <w:szCs w:val="24"/>
        </w:rPr>
        <w:t xml:space="preserve"> pensamiento crítico</w:t>
      </w:r>
      <w:r w:rsidR="00683C28" w:rsidRPr="00617DF3">
        <w:rPr>
          <w:rFonts w:ascii="Times New Roman" w:hAnsi="Times New Roman" w:cs="Times New Roman"/>
          <w:sz w:val="24"/>
          <w:szCs w:val="24"/>
        </w:rPr>
        <w:t xml:space="preserve"> y </w:t>
      </w:r>
      <w:r w:rsidR="00A06DBC" w:rsidRPr="00617DF3">
        <w:rPr>
          <w:rFonts w:ascii="Times New Roman" w:hAnsi="Times New Roman" w:cs="Times New Roman"/>
          <w:sz w:val="24"/>
          <w:szCs w:val="24"/>
        </w:rPr>
        <w:t>la creatividad</w:t>
      </w:r>
      <w:r w:rsidRPr="00617DF3">
        <w:rPr>
          <w:rFonts w:ascii="Times New Roman" w:hAnsi="Times New Roman" w:cs="Times New Roman"/>
          <w:sz w:val="24"/>
          <w:szCs w:val="24"/>
        </w:rPr>
        <w:t>, en sintonía con los niveles de la taxonomía de Bloom (</w:t>
      </w:r>
      <w:r w:rsidR="00A4375F" w:rsidRPr="00617DF3">
        <w:rPr>
          <w:rFonts w:ascii="Times New Roman" w:hAnsi="Times New Roman" w:cs="Times New Roman"/>
          <w:sz w:val="24"/>
          <w:szCs w:val="24"/>
        </w:rPr>
        <w:t>Bloom</w:t>
      </w:r>
      <w:r w:rsidR="009C5EA5" w:rsidRPr="00617DF3">
        <w:rPr>
          <w:rFonts w:ascii="Times New Roman" w:hAnsi="Times New Roman" w:cs="Times New Roman"/>
          <w:sz w:val="24"/>
          <w:szCs w:val="24"/>
        </w:rPr>
        <w:t xml:space="preserve"> </w:t>
      </w:r>
      <w:r w:rsidR="00A4375F" w:rsidRPr="00617DF3">
        <w:rPr>
          <w:rFonts w:ascii="Times New Roman" w:hAnsi="Times New Roman" w:cs="Times New Roman"/>
          <w:sz w:val="24"/>
          <w:szCs w:val="24"/>
        </w:rPr>
        <w:t>et al., 1956</w:t>
      </w:r>
      <w:r w:rsidR="00810B9D" w:rsidRPr="00617DF3">
        <w:rPr>
          <w:rFonts w:ascii="Times New Roman" w:hAnsi="Times New Roman" w:cs="Times New Roman"/>
          <w:sz w:val="24"/>
          <w:szCs w:val="24"/>
        </w:rPr>
        <w:t xml:space="preserve">; </w:t>
      </w:r>
      <w:proofErr w:type="spellStart"/>
      <w:r w:rsidRPr="00617DF3">
        <w:rPr>
          <w:rFonts w:ascii="Times New Roman" w:hAnsi="Times New Roman" w:cs="Times New Roman"/>
          <w:sz w:val="24"/>
          <w:szCs w:val="24"/>
        </w:rPr>
        <w:t>Gremler</w:t>
      </w:r>
      <w:proofErr w:type="spellEnd"/>
      <w:r w:rsidRPr="00617DF3">
        <w:rPr>
          <w:rFonts w:ascii="Times New Roman" w:hAnsi="Times New Roman" w:cs="Times New Roman"/>
          <w:sz w:val="24"/>
          <w:szCs w:val="24"/>
        </w:rPr>
        <w:t xml:space="preserve"> et al., 2000; </w:t>
      </w:r>
      <w:r w:rsidR="00BE7F5D" w:rsidRPr="00617DF3">
        <w:rPr>
          <w:rFonts w:ascii="Times New Roman" w:hAnsi="Times New Roman" w:cs="Times New Roman"/>
          <w:sz w:val="24"/>
          <w:szCs w:val="24"/>
        </w:rPr>
        <w:t xml:space="preserve">Anderson y </w:t>
      </w:r>
      <w:proofErr w:type="spellStart"/>
      <w:r w:rsidR="00BE7F5D" w:rsidRPr="00617DF3">
        <w:rPr>
          <w:rFonts w:ascii="Times New Roman" w:hAnsi="Times New Roman" w:cs="Times New Roman"/>
          <w:sz w:val="24"/>
          <w:szCs w:val="24"/>
        </w:rPr>
        <w:t>Krathwohl</w:t>
      </w:r>
      <w:proofErr w:type="spellEnd"/>
      <w:r w:rsidR="00BE7F5D" w:rsidRPr="00617DF3">
        <w:rPr>
          <w:rFonts w:ascii="Times New Roman" w:hAnsi="Times New Roman" w:cs="Times New Roman"/>
          <w:sz w:val="24"/>
          <w:szCs w:val="24"/>
        </w:rPr>
        <w:t>, 2001</w:t>
      </w:r>
      <w:r w:rsidR="00C80B39" w:rsidRPr="00617DF3">
        <w:rPr>
          <w:rFonts w:ascii="Times New Roman" w:hAnsi="Times New Roman" w:cs="Times New Roman"/>
          <w:sz w:val="24"/>
          <w:szCs w:val="24"/>
        </w:rPr>
        <w:t xml:space="preserve">; </w:t>
      </w:r>
      <w:r w:rsidR="00810B9D" w:rsidRPr="00617DF3">
        <w:rPr>
          <w:rFonts w:ascii="Times New Roman" w:hAnsi="Times New Roman" w:cs="Times New Roman"/>
          <w:sz w:val="24"/>
          <w:szCs w:val="24"/>
        </w:rPr>
        <w:t xml:space="preserve">Kolb y Kolb, 2005; </w:t>
      </w:r>
      <w:proofErr w:type="spellStart"/>
      <w:r w:rsidRPr="00617DF3">
        <w:rPr>
          <w:rFonts w:ascii="Times New Roman" w:hAnsi="Times New Roman" w:cs="Times New Roman"/>
          <w:sz w:val="24"/>
          <w:szCs w:val="24"/>
        </w:rPr>
        <w:t>Laverie</w:t>
      </w:r>
      <w:proofErr w:type="spellEnd"/>
      <w:r w:rsidRPr="00617DF3">
        <w:rPr>
          <w:rFonts w:ascii="Times New Roman" w:hAnsi="Times New Roman" w:cs="Times New Roman"/>
          <w:sz w:val="24"/>
          <w:szCs w:val="24"/>
        </w:rPr>
        <w:t xml:space="preserve"> et al., 2022)</w:t>
      </w:r>
      <w:r w:rsidR="008304CB" w:rsidRPr="00617DF3">
        <w:rPr>
          <w:rFonts w:ascii="Times New Roman" w:hAnsi="Times New Roman" w:cs="Times New Roman"/>
          <w:sz w:val="24"/>
          <w:szCs w:val="24"/>
        </w:rPr>
        <w:t xml:space="preserve">, por </w:t>
      </w:r>
      <w:r w:rsidR="009B4E94" w:rsidRPr="00617DF3">
        <w:rPr>
          <w:rFonts w:ascii="Times New Roman" w:hAnsi="Times New Roman" w:cs="Times New Roman"/>
          <w:sz w:val="24"/>
          <w:szCs w:val="24"/>
        </w:rPr>
        <w:t>tanto</w:t>
      </w:r>
      <w:r w:rsidR="00E73563" w:rsidRPr="00617DF3">
        <w:rPr>
          <w:rFonts w:ascii="Times New Roman" w:hAnsi="Times New Roman" w:cs="Times New Roman"/>
          <w:sz w:val="24"/>
          <w:szCs w:val="24"/>
        </w:rPr>
        <w:t>,</w:t>
      </w:r>
      <w:r w:rsidR="003C2BC9" w:rsidRPr="00617DF3">
        <w:rPr>
          <w:rFonts w:ascii="Times New Roman" w:hAnsi="Times New Roman" w:cs="Times New Roman"/>
          <w:sz w:val="24"/>
          <w:szCs w:val="24"/>
        </w:rPr>
        <w:t xml:space="preserve"> constituye un terreno fértil para capitalizar estas capacidades</w:t>
      </w:r>
      <w:r w:rsidR="008304CB" w:rsidRPr="00617DF3">
        <w:rPr>
          <w:rFonts w:ascii="Times New Roman" w:hAnsi="Times New Roman" w:cs="Times New Roman"/>
          <w:sz w:val="24"/>
          <w:szCs w:val="24"/>
        </w:rPr>
        <w:t xml:space="preserve"> y valor en la experiencia del aprendizaje</w:t>
      </w:r>
      <w:r w:rsidR="003C2BC9" w:rsidRPr="00617DF3">
        <w:rPr>
          <w:rFonts w:ascii="Times New Roman" w:hAnsi="Times New Roman" w:cs="Times New Roman"/>
          <w:sz w:val="24"/>
          <w:szCs w:val="24"/>
        </w:rPr>
        <w:t xml:space="preserve"> (Franco y Valdez, 2018). </w:t>
      </w:r>
      <w:r w:rsidR="00AB64B1" w:rsidRPr="00617DF3">
        <w:rPr>
          <w:rFonts w:ascii="Times New Roman" w:hAnsi="Times New Roman" w:cs="Times New Roman"/>
          <w:sz w:val="24"/>
          <w:szCs w:val="24"/>
        </w:rPr>
        <w:t xml:space="preserve">En prácticas experienciales con apoyo de herramientas de neurociencia, las actividades se estructuraron </w:t>
      </w:r>
      <w:r w:rsidR="003C2BC9" w:rsidRPr="00617DF3">
        <w:rPr>
          <w:rFonts w:ascii="Times New Roman" w:hAnsi="Times New Roman" w:cs="Times New Roman"/>
          <w:sz w:val="24"/>
          <w:szCs w:val="24"/>
        </w:rPr>
        <w:t xml:space="preserve">como ciclos de prueba, análisis y reflexión en los que </w:t>
      </w:r>
      <w:r w:rsidR="00683C28" w:rsidRPr="00617DF3">
        <w:rPr>
          <w:rFonts w:ascii="Times New Roman" w:hAnsi="Times New Roman" w:cs="Times New Roman"/>
          <w:sz w:val="24"/>
          <w:szCs w:val="24"/>
        </w:rPr>
        <w:t xml:space="preserve">se impulsa el </w:t>
      </w:r>
      <w:r w:rsidR="003C2BC9" w:rsidRPr="00617DF3">
        <w:rPr>
          <w:rFonts w:ascii="Times New Roman" w:hAnsi="Times New Roman" w:cs="Times New Roman"/>
          <w:sz w:val="24"/>
          <w:szCs w:val="24"/>
        </w:rPr>
        <w:t>diseñ</w:t>
      </w:r>
      <w:r w:rsidR="00683C28" w:rsidRPr="00617DF3">
        <w:rPr>
          <w:rFonts w:ascii="Times New Roman" w:hAnsi="Times New Roman" w:cs="Times New Roman"/>
          <w:sz w:val="24"/>
          <w:szCs w:val="24"/>
        </w:rPr>
        <w:t xml:space="preserve">o y la </w:t>
      </w:r>
      <w:r w:rsidR="003C2BC9" w:rsidRPr="00617DF3">
        <w:rPr>
          <w:rFonts w:ascii="Times New Roman" w:hAnsi="Times New Roman" w:cs="Times New Roman"/>
          <w:sz w:val="24"/>
          <w:szCs w:val="24"/>
        </w:rPr>
        <w:t>eval</w:t>
      </w:r>
      <w:r w:rsidR="00683C28" w:rsidRPr="00617DF3">
        <w:rPr>
          <w:rFonts w:ascii="Times New Roman" w:hAnsi="Times New Roman" w:cs="Times New Roman"/>
          <w:sz w:val="24"/>
          <w:szCs w:val="24"/>
        </w:rPr>
        <w:t>uación</w:t>
      </w:r>
      <w:r w:rsidR="003C2BC9" w:rsidRPr="00617DF3">
        <w:rPr>
          <w:rFonts w:ascii="Times New Roman" w:hAnsi="Times New Roman" w:cs="Times New Roman"/>
          <w:sz w:val="24"/>
          <w:szCs w:val="24"/>
        </w:rPr>
        <w:t xml:space="preserve"> </w:t>
      </w:r>
      <w:r w:rsidR="00683C28" w:rsidRPr="00617DF3">
        <w:rPr>
          <w:rFonts w:ascii="Times New Roman" w:hAnsi="Times New Roman" w:cs="Times New Roman"/>
          <w:sz w:val="24"/>
          <w:szCs w:val="24"/>
        </w:rPr>
        <w:t xml:space="preserve">de </w:t>
      </w:r>
      <w:r w:rsidR="003C2BC9" w:rsidRPr="00617DF3">
        <w:rPr>
          <w:rFonts w:ascii="Times New Roman" w:hAnsi="Times New Roman" w:cs="Times New Roman"/>
          <w:sz w:val="24"/>
          <w:szCs w:val="24"/>
        </w:rPr>
        <w:t xml:space="preserve">simulaciones de marketing, acumulando evidencia objetiva sobre </w:t>
      </w:r>
      <w:r w:rsidR="00683C28" w:rsidRPr="00617DF3">
        <w:rPr>
          <w:rFonts w:ascii="Times New Roman" w:hAnsi="Times New Roman" w:cs="Times New Roman"/>
          <w:sz w:val="24"/>
          <w:szCs w:val="24"/>
        </w:rPr>
        <w:t>el</w:t>
      </w:r>
      <w:r w:rsidR="003C2BC9" w:rsidRPr="00617DF3">
        <w:rPr>
          <w:rFonts w:ascii="Times New Roman" w:hAnsi="Times New Roman" w:cs="Times New Roman"/>
          <w:sz w:val="24"/>
          <w:szCs w:val="24"/>
        </w:rPr>
        <w:t xml:space="preserve"> procesamiento cognitivo. </w:t>
      </w:r>
      <w:r w:rsidR="005D0D29" w:rsidRPr="00617DF3">
        <w:rPr>
          <w:rFonts w:ascii="Times New Roman" w:hAnsi="Times New Roman" w:cs="Times New Roman"/>
          <w:sz w:val="24"/>
          <w:szCs w:val="24"/>
        </w:rPr>
        <w:t>En consecuencia,</w:t>
      </w:r>
      <w:r w:rsidR="003C2BC9" w:rsidRPr="00617DF3">
        <w:rPr>
          <w:rFonts w:ascii="Times New Roman" w:hAnsi="Times New Roman" w:cs="Times New Roman"/>
          <w:sz w:val="24"/>
          <w:szCs w:val="24"/>
        </w:rPr>
        <w:t xml:space="preserve"> la</w:t>
      </w:r>
      <w:r w:rsidR="00683C28" w:rsidRPr="00617DF3">
        <w:rPr>
          <w:rFonts w:ascii="Times New Roman" w:hAnsi="Times New Roman" w:cs="Times New Roman"/>
          <w:sz w:val="24"/>
          <w:szCs w:val="24"/>
        </w:rPr>
        <w:t>s</w:t>
      </w:r>
      <w:r w:rsidR="00EB1D68" w:rsidRPr="00617DF3">
        <w:rPr>
          <w:rFonts w:ascii="Times New Roman" w:hAnsi="Times New Roman" w:cs="Times New Roman"/>
          <w:sz w:val="24"/>
          <w:szCs w:val="24"/>
        </w:rPr>
        <w:t xml:space="preserve"> prácticas experienciales de </w:t>
      </w:r>
      <w:r w:rsidR="00683C28" w:rsidRPr="00617DF3">
        <w:rPr>
          <w:rFonts w:ascii="Times New Roman" w:hAnsi="Times New Roman" w:cs="Times New Roman"/>
          <w:sz w:val="24"/>
          <w:szCs w:val="24"/>
        </w:rPr>
        <w:t>neuro</w:t>
      </w:r>
      <w:r w:rsidR="00EB1D68" w:rsidRPr="00617DF3">
        <w:rPr>
          <w:rFonts w:ascii="Times New Roman" w:hAnsi="Times New Roman" w:cs="Times New Roman"/>
          <w:sz w:val="24"/>
          <w:szCs w:val="24"/>
        </w:rPr>
        <w:t>mercadotecnia</w:t>
      </w:r>
      <w:r w:rsidR="003C2BC9" w:rsidRPr="00617DF3">
        <w:rPr>
          <w:rFonts w:ascii="Times New Roman" w:hAnsi="Times New Roman" w:cs="Times New Roman"/>
          <w:sz w:val="24"/>
          <w:szCs w:val="24"/>
        </w:rPr>
        <w:t xml:space="preserve"> posibilita</w:t>
      </w:r>
      <w:r w:rsidR="00683C28" w:rsidRPr="00617DF3">
        <w:rPr>
          <w:rFonts w:ascii="Times New Roman" w:hAnsi="Times New Roman" w:cs="Times New Roman"/>
          <w:sz w:val="24"/>
          <w:szCs w:val="24"/>
        </w:rPr>
        <w:t>n</w:t>
      </w:r>
      <w:r w:rsidR="003C2BC9" w:rsidRPr="00617DF3">
        <w:rPr>
          <w:rFonts w:ascii="Times New Roman" w:hAnsi="Times New Roman" w:cs="Times New Roman"/>
          <w:sz w:val="24"/>
          <w:szCs w:val="24"/>
        </w:rPr>
        <w:t xml:space="preserve"> triangulaciones robustas de valor y experiencia en el aprendizaje y</w:t>
      </w:r>
      <w:r w:rsidR="00683C28" w:rsidRPr="00617DF3">
        <w:rPr>
          <w:rFonts w:ascii="Times New Roman" w:hAnsi="Times New Roman" w:cs="Times New Roman"/>
          <w:sz w:val="24"/>
          <w:szCs w:val="24"/>
        </w:rPr>
        <w:t xml:space="preserve"> </w:t>
      </w:r>
      <w:r w:rsidR="003C2BC9" w:rsidRPr="00617DF3">
        <w:rPr>
          <w:rFonts w:ascii="Times New Roman" w:hAnsi="Times New Roman" w:cs="Times New Roman"/>
          <w:sz w:val="24"/>
          <w:szCs w:val="24"/>
        </w:rPr>
        <w:t xml:space="preserve">en la progresión de la carga cognitiva, configurando un sistema valioso de </w:t>
      </w:r>
      <w:r w:rsidR="00D64C94" w:rsidRPr="00617DF3">
        <w:rPr>
          <w:rFonts w:ascii="Times New Roman" w:hAnsi="Times New Roman" w:cs="Times New Roman"/>
          <w:sz w:val="24"/>
          <w:szCs w:val="24"/>
        </w:rPr>
        <w:t>enseñanza</w:t>
      </w:r>
      <w:r w:rsidR="003C2BC9" w:rsidRPr="00617DF3">
        <w:rPr>
          <w:rFonts w:ascii="Times New Roman" w:hAnsi="Times New Roman" w:cs="Times New Roman"/>
          <w:sz w:val="24"/>
          <w:szCs w:val="24"/>
        </w:rPr>
        <w:t xml:space="preserve"> (</w:t>
      </w:r>
      <w:proofErr w:type="spellStart"/>
      <w:r w:rsidR="003C2BC9" w:rsidRPr="00617DF3">
        <w:rPr>
          <w:rFonts w:ascii="Times New Roman" w:hAnsi="Times New Roman" w:cs="Times New Roman"/>
          <w:sz w:val="24"/>
          <w:szCs w:val="24"/>
        </w:rPr>
        <w:t>Ababkova</w:t>
      </w:r>
      <w:proofErr w:type="spellEnd"/>
      <w:r w:rsidR="003C2BC9" w:rsidRPr="00617DF3">
        <w:rPr>
          <w:rFonts w:ascii="Times New Roman" w:hAnsi="Times New Roman" w:cs="Times New Roman"/>
          <w:sz w:val="24"/>
          <w:szCs w:val="24"/>
        </w:rPr>
        <w:t xml:space="preserve"> y </w:t>
      </w:r>
      <w:proofErr w:type="spellStart"/>
      <w:r w:rsidR="003C2BC9" w:rsidRPr="00617DF3">
        <w:rPr>
          <w:rFonts w:ascii="Times New Roman" w:hAnsi="Times New Roman" w:cs="Times New Roman"/>
          <w:sz w:val="24"/>
          <w:szCs w:val="24"/>
        </w:rPr>
        <w:t>Leontiev</w:t>
      </w:r>
      <w:r w:rsidR="00E1582B" w:rsidRPr="00617DF3">
        <w:rPr>
          <w:rFonts w:ascii="Times New Roman" w:hAnsi="Times New Roman" w:cs="Times New Roman"/>
          <w:sz w:val="24"/>
          <w:szCs w:val="24"/>
        </w:rPr>
        <w:t>a</w:t>
      </w:r>
      <w:proofErr w:type="spellEnd"/>
      <w:r w:rsidR="003C2BC9" w:rsidRPr="00617DF3">
        <w:rPr>
          <w:rFonts w:ascii="Times New Roman" w:hAnsi="Times New Roman" w:cs="Times New Roman"/>
          <w:sz w:val="24"/>
          <w:szCs w:val="24"/>
        </w:rPr>
        <w:t xml:space="preserve">, 2018; </w:t>
      </w:r>
      <w:proofErr w:type="spellStart"/>
      <w:r w:rsidR="003C2BC9" w:rsidRPr="00617DF3">
        <w:rPr>
          <w:rFonts w:ascii="Times New Roman" w:hAnsi="Times New Roman" w:cs="Times New Roman"/>
          <w:sz w:val="24"/>
          <w:szCs w:val="24"/>
        </w:rPr>
        <w:t>McInnes</w:t>
      </w:r>
      <w:proofErr w:type="spellEnd"/>
      <w:r w:rsidR="003C2BC9" w:rsidRPr="00617DF3">
        <w:rPr>
          <w:rFonts w:ascii="Times New Roman" w:hAnsi="Times New Roman" w:cs="Times New Roman"/>
          <w:sz w:val="24"/>
          <w:szCs w:val="24"/>
        </w:rPr>
        <w:t xml:space="preserve"> et al., 2023).</w:t>
      </w:r>
    </w:p>
    <w:p w14:paraId="4C9D3787" w14:textId="77777777" w:rsidR="003C2BC9" w:rsidRPr="00617DF3" w:rsidRDefault="003C2BC9" w:rsidP="003C6959">
      <w:pPr>
        <w:spacing w:after="0" w:line="240" w:lineRule="auto"/>
        <w:jc w:val="both"/>
        <w:rPr>
          <w:rFonts w:ascii="Times New Roman" w:hAnsi="Times New Roman" w:cs="Times New Roman"/>
          <w:sz w:val="24"/>
          <w:szCs w:val="24"/>
        </w:rPr>
      </w:pPr>
    </w:p>
    <w:p w14:paraId="7242E285" w14:textId="1DD41D5F" w:rsidR="00B100BF" w:rsidRPr="00617DF3" w:rsidRDefault="004918F0" w:rsidP="003C6959">
      <w:pPr>
        <w:spacing w:after="0" w:line="240" w:lineRule="auto"/>
        <w:jc w:val="both"/>
        <w:rPr>
          <w:rFonts w:ascii="Times New Roman" w:hAnsi="Times New Roman" w:cs="Times New Roman"/>
          <w:sz w:val="24"/>
          <w:szCs w:val="24"/>
        </w:rPr>
      </w:pPr>
      <w:r w:rsidRPr="00617DF3">
        <w:rPr>
          <w:rFonts w:ascii="Times New Roman" w:hAnsi="Times New Roman" w:cs="Times New Roman"/>
          <w:sz w:val="24"/>
          <w:szCs w:val="24"/>
        </w:rPr>
        <w:t xml:space="preserve">Pese a estos avances, la relación directa entre </w:t>
      </w:r>
      <w:r w:rsidR="00EE0947" w:rsidRPr="00617DF3">
        <w:rPr>
          <w:rFonts w:ascii="Times New Roman" w:hAnsi="Times New Roman" w:cs="Times New Roman"/>
          <w:sz w:val="24"/>
          <w:szCs w:val="24"/>
        </w:rPr>
        <w:t xml:space="preserve">las </w:t>
      </w:r>
      <w:r w:rsidRPr="00617DF3">
        <w:rPr>
          <w:rFonts w:ascii="Times New Roman" w:hAnsi="Times New Roman" w:cs="Times New Roman"/>
          <w:sz w:val="24"/>
          <w:szCs w:val="24"/>
        </w:rPr>
        <w:t xml:space="preserve">herramientas de neuromarketing y </w:t>
      </w:r>
      <w:r w:rsidR="00EE0947" w:rsidRPr="00617DF3">
        <w:rPr>
          <w:rFonts w:ascii="Times New Roman" w:hAnsi="Times New Roman" w:cs="Times New Roman"/>
          <w:sz w:val="24"/>
          <w:szCs w:val="24"/>
        </w:rPr>
        <w:t xml:space="preserve">la </w:t>
      </w:r>
      <w:r w:rsidRPr="00617DF3">
        <w:rPr>
          <w:rFonts w:ascii="Times New Roman" w:hAnsi="Times New Roman" w:cs="Times New Roman"/>
          <w:sz w:val="24"/>
          <w:szCs w:val="24"/>
        </w:rPr>
        <w:t xml:space="preserve">progresión cognitiva dentro de contextos experienciales permanece </w:t>
      </w:r>
      <w:r w:rsidR="009360AB" w:rsidRPr="00617DF3">
        <w:rPr>
          <w:rFonts w:ascii="Times New Roman" w:hAnsi="Times New Roman" w:cs="Times New Roman"/>
          <w:sz w:val="24"/>
          <w:szCs w:val="24"/>
        </w:rPr>
        <w:t>poco explorada</w:t>
      </w:r>
      <w:r w:rsidRPr="00617DF3">
        <w:rPr>
          <w:rFonts w:ascii="Times New Roman" w:hAnsi="Times New Roman" w:cs="Times New Roman"/>
          <w:sz w:val="24"/>
          <w:szCs w:val="24"/>
        </w:rPr>
        <w:t xml:space="preserve">, en particular el mapeo operativo entre métricas neurofisiológicas y niveles específicos durante tareas auténticas de análisis y creación de estrategias de marketing. </w:t>
      </w:r>
      <w:r w:rsidR="00945794" w:rsidRPr="00617DF3">
        <w:rPr>
          <w:rFonts w:ascii="Times New Roman" w:hAnsi="Times New Roman" w:cs="Times New Roman"/>
          <w:sz w:val="24"/>
          <w:szCs w:val="24"/>
        </w:rPr>
        <w:t xml:space="preserve">En consecuencia, esta investigación analiza si la integración de herramientas de neuromarketing en el aprendizaje experiencial mejora dicho proceso. Lee (2021) reporta que los módulos experienciales de neuromarketing fortalecen la comprensión del comportamiento del consumidor y elevan el valor de aprendizaje percibido. </w:t>
      </w:r>
      <w:r w:rsidR="00B01CEA" w:rsidRPr="00617DF3">
        <w:rPr>
          <w:rFonts w:ascii="Times New Roman" w:hAnsi="Times New Roman" w:cs="Times New Roman"/>
          <w:sz w:val="24"/>
          <w:szCs w:val="24"/>
        </w:rPr>
        <w:t xml:space="preserve">En consecuencia, el primer objetivo de investigación consiste en </w:t>
      </w:r>
      <w:r w:rsidR="00C81356" w:rsidRPr="00617DF3">
        <w:rPr>
          <w:rFonts w:ascii="Times New Roman" w:hAnsi="Times New Roman" w:cs="Times New Roman"/>
          <w:sz w:val="24"/>
          <w:szCs w:val="24"/>
        </w:rPr>
        <w:t xml:space="preserve">(1) </w:t>
      </w:r>
      <w:r w:rsidR="00B01CEA" w:rsidRPr="00617DF3">
        <w:rPr>
          <w:rFonts w:ascii="Times New Roman" w:hAnsi="Times New Roman" w:cs="Times New Roman"/>
          <w:sz w:val="24"/>
          <w:szCs w:val="24"/>
        </w:rPr>
        <w:t>estimar rigurosamente el efecto que tiene la integración de técnicas de neuro</w:t>
      </w:r>
      <w:r w:rsidR="00EA6BC3" w:rsidRPr="00617DF3">
        <w:rPr>
          <w:rFonts w:ascii="Times New Roman" w:hAnsi="Times New Roman" w:cs="Times New Roman"/>
          <w:sz w:val="24"/>
          <w:szCs w:val="24"/>
        </w:rPr>
        <w:t>marketing</w:t>
      </w:r>
      <w:r w:rsidR="00B01CEA" w:rsidRPr="00617DF3">
        <w:rPr>
          <w:rFonts w:ascii="Times New Roman" w:hAnsi="Times New Roman" w:cs="Times New Roman"/>
          <w:sz w:val="24"/>
          <w:szCs w:val="24"/>
        </w:rPr>
        <w:t xml:space="preserve"> en actividades experienciales sobre el valor de aprendizaje percibido y sobre la experiencia del estudiantado.</w:t>
      </w:r>
      <w:r w:rsidR="00945794" w:rsidRPr="00617DF3">
        <w:rPr>
          <w:rFonts w:ascii="Times New Roman" w:hAnsi="Times New Roman" w:cs="Times New Roman"/>
          <w:sz w:val="24"/>
          <w:szCs w:val="24"/>
        </w:rPr>
        <w:t xml:space="preserve"> Adicionalmente, investigaciones con indicadores neurofisiológicos evidencian que las </w:t>
      </w:r>
      <w:r w:rsidR="00D40FC7" w:rsidRPr="00617DF3">
        <w:rPr>
          <w:rFonts w:ascii="Times New Roman" w:hAnsi="Times New Roman" w:cs="Times New Roman"/>
          <w:sz w:val="24"/>
          <w:szCs w:val="24"/>
        </w:rPr>
        <w:t>manipulaciones instruccionales planificadas</w:t>
      </w:r>
      <w:r w:rsidR="00945794" w:rsidRPr="00617DF3">
        <w:rPr>
          <w:rFonts w:ascii="Times New Roman" w:hAnsi="Times New Roman" w:cs="Times New Roman"/>
          <w:sz w:val="24"/>
          <w:szCs w:val="24"/>
        </w:rPr>
        <w:t xml:space="preserve"> modulan la carga cognitiva y el procesamiento de la información, favoreciendo niveles de aprendizaje más profundos (Wang et al., 2020), lo que permite formular el segundo objetivo, que es </w:t>
      </w:r>
      <w:r w:rsidR="00C81356" w:rsidRPr="00617DF3">
        <w:rPr>
          <w:rFonts w:ascii="Times New Roman" w:hAnsi="Times New Roman" w:cs="Times New Roman"/>
          <w:sz w:val="24"/>
          <w:szCs w:val="24"/>
        </w:rPr>
        <w:t xml:space="preserve">(2) </w:t>
      </w:r>
      <w:r w:rsidR="00945794" w:rsidRPr="00617DF3">
        <w:rPr>
          <w:rFonts w:ascii="Times New Roman" w:hAnsi="Times New Roman" w:cs="Times New Roman"/>
          <w:sz w:val="24"/>
          <w:szCs w:val="24"/>
        </w:rPr>
        <w:t xml:space="preserve">verificar si dichas manipulaciones impulsan </w:t>
      </w:r>
      <w:r w:rsidR="00683C28" w:rsidRPr="00617DF3">
        <w:rPr>
          <w:rFonts w:ascii="Times New Roman" w:hAnsi="Times New Roman" w:cs="Times New Roman"/>
          <w:sz w:val="24"/>
          <w:szCs w:val="24"/>
        </w:rPr>
        <w:t xml:space="preserve">también </w:t>
      </w:r>
      <w:r w:rsidR="00945794" w:rsidRPr="00617DF3">
        <w:rPr>
          <w:rFonts w:ascii="Times New Roman" w:hAnsi="Times New Roman" w:cs="Times New Roman"/>
          <w:sz w:val="24"/>
          <w:szCs w:val="24"/>
        </w:rPr>
        <w:t>progresiones</w:t>
      </w:r>
      <w:r w:rsidR="00683C28" w:rsidRPr="00617DF3">
        <w:rPr>
          <w:rFonts w:ascii="Times New Roman" w:hAnsi="Times New Roman" w:cs="Times New Roman"/>
          <w:sz w:val="24"/>
          <w:szCs w:val="24"/>
        </w:rPr>
        <w:t xml:space="preserve"> en mercadotecnia</w:t>
      </w:r>
      <w:r w:rsidR="00945794" w:rsidRPr="00617DF3">
        <w:rPr>
          <w:rFonts w:ascii="Times New Roman" w:hAnsi="Times New Roman" w:cs="Times New Roman"/>
          <w:sz w:val="24"/>
          <w:szCs w:val="24"/>
        </w:rPr>
        <w:t xml:space="preserve"> a través de los niveles cognitivos descritos por la taxonomía </w:t>
      </w:r>
      <w:r w:rsidR="00683C28" w:rsidRPr="00617DF3">
        <w:rPr>
          <w:rFonts w:ascii="Times New Roman" w:hAnsi="Times New Roman" w:cs="Times New Roman"/>
          <w:sz w:val="24"/>
          <w:szCs w:val="24"/>
        </w:rPr>
        <w:t>de Bloom.</w:t>
      </w:r>
    </w:p>
    <w:p w14:paraId="03340C4C" w14:textId="77777777" w:rsidR="00B100BF" w:rsidRPr="00617DF3" w:rsidRDefault="00B100BF" w:rsidP="003C6959">
      <w:pPr>
        <w:spacing w:after="0" w:line="240" w:lineRule="auto"/>
        <w:jc w:val="both"/>
        <w:rPr>
          <w:rFonts w:ascii="Times New Roman" w:hAnsi="Times New Roman" w:cs="Times New Roman"/>
          <w:sz w:val="24"/>
          <w:szCs w:val="24"/>
        </w:rPr>
      </w:pPr>
    </w:p>
    <w:p w14:paraId="48107C88" w14:textId="0A7E7752" w:rsidR="004918F0" w:rsidRPr="00617DF3" w:rsidRDefault="004918F0" w:rsidP="003C6959">
      <w:pPr>
        <w:spacing w:after="0" w:line="240" w:lineRule="auto"/>
        <w:jc w:val="both"/>
        <w:rPr>
          <w:rFonts w:ascii="Times New Roman" w:hAnsi="Times New Roman" w:cs="Times New Roman"/>
          <w:sz w:val="24"/>
          <w:szCs w:val="24"/>
        </w:rPr>
      </w:pPr>
      <w:r w:rsidRPr="00617DF3">
        <w:rPr>
          <w:rFonts w:ascii="Times New Roman" w:hAnsi="Times New Roman" w:cs="Times New Roman"/>
          <w:sz w:val="24"/>
          <w:szCs w:val="24"/>
        </w:rPr>
        <w:t>Para afrontar esta brecha</w:t>
      </w:r>
      <w:r w:rsidR="00945794" w:rsidRPr="00617DF3">
        <w:rPr>
          <w:rFonts w:ascii="Times New Roman" w:hAnsi="Times New Roman" w:cs="Times New Roman"/>
          <w:sz w:val="24"/>
          <w:szCs w:val="24"/>
        </w:rPr>
        <w:t xml:space="preserve"> en la literatura</w:t>
      </w:r>
      <w:r w:rsidRPr="00617DF3">
        <w:rPr>
          <w:rFonts w:ascii="Times New Roman" w:hAnsi="Times New Roman" w:cs="Times New Roman"/>
          <w:sz w:val="24"/>
          <w:szCs w:val="24"/>
        </w:rPr>
        <w:t xml:space="preserve">, se plantea un enfoque multimodal que </w:t>
      </w:r>
      <w:r w:rsidR="00E826EC" w:rsidRPr="00617DF3">
        <w:rPr>
          <w:rFonts w:ascii="Times New Roman" w:hAnsi="Times New Roman" w:cs="Times New Roman"/>
          <w:sz w:val="24"/>
          <w:szCs w:val="24"/>
        </w:rPr>
        <w:t>integra la</w:t>
      </w:r>
      <w:r w:rsidR="004728F1" w:rsidRPr="00617DF3">
        <w:rPr>
          <w:rFonts w:ascii="Times New Roman" w:hAnsi="Times New Roman" w:cs="Times New Roman"/>
          <w:sz w:val="24"/>
          <w:szCs w:val="24"/>
        </w:rPr>
        <w:t xml:space="preserve"> respuesta galvánica de la piel</w:t>
      </w:r>
      <w:r w:rsidR="00F82C13" w:rsidRPr="00617DF3">
        <w:rPr>
          <w:rFonts w:ascii="Times New Roman" w:hAnsi="Times New Roman" w:cs="Times New Roman"/>
          <w:sz w:val="24"/>
          <w:szCs w:val="24"/>
        </w:rPr>
        <w:t xml:space="preserve"> </w:t>
      </w:r>
      <w:r w:rsidR="00040BF0" w:rsidRPr="00617DF3">
        <w:rPr>
          <w:rFonts w:ascii="Times New Roman" w:hAnsi="Times New Roman" w:cs="Times New Roman"/>
          <w:sz w:val="24"/>
          <w:szCs w:val="24"/>
        </w:rPr>
        <w:t xml:space="preserve">(GSR) </w:t>
      </w:r>
      <w:r w:rsidRPr="00617DF3">
        <w:rPr>
          <w:rFonts w:ascii="Times New Roman" w:hAnsi="Times New Roman" w:cs="Times New Roman"/>
          <w:sz w:val="24"/>
          <w:szCs w:val="24"/>
        </w:rPr>
        <w:t xml:space="preserve">y el seguimiento ocular con prácticas </w:t>
      </w:r>
      <w:r w:rsidR="003C0E15" w:rsidRPr="00617DF3">
        <w:rPr>
          <w:rFonts w:ascii="Times New Roman" w:hAnsi="Times New Roman" w:cs="Times New Roman"/>
          <w:sz w:val="24"/>
          <w:szCs w:val="24"/>
        </w:rPr>
        <w:t>experienciales</w:t>
      </w:r>
      <w:r w:rsidRPr="00617DF3">
        <w:rPr>
          <w:rFonts w:ascii="Times New Roman" w:hAnsi="Times New Roman" w:cs="Times New Roman"/>
          <w:sz w:val="24"/>
          <w:szCs w:val="24"/>
        </w:rPr>
        <w:t xml:space="preserve">, con el propósito de </w:t>
      </w:r>
      <w:r w:rsidR="008401DE" w:rsidRPr="00617DF3">
        <w:rPr>
          <w:rFonts w:ascii="Times New Roman" w:hAnsi="Times New Roman" w:cs="Times New Roman"/>
          <w:sz w:val="24"/>
          <w:szCs w:val="24"/>
        </w:rPr>
        <w:t>obtener</w:t>
      </w:r>
      <w:r w:rsidRPr="00617DF3">
        <w:rPr>
          <w:rFonts w:ascii="Times New Roman" w:hAnsi="Times New Roman" w:cs="Times New Roman"/>
          <w:sz w:val="24"/>
          <w:szCs w:val="24"/>
        </w:rPr>
        <w:t xml:space="preserve"> evidencias sobre la </w:t>
      </w:r>
      <w:r w:rsidR="008401DE" w:rsidRPr="00617DF3">
        <w:rPr>
          <w:rFonts w:ascii="Times New Roman" w:hAnsi="Times New Roman" w:cs="Times New Roman"/>
          <w:sz w:val="24"/>
          <w:szCs w:val="24"/>
        </w:rPr>
        <w:t xml:space="preserve">progresión </w:t>
      </w:r>
      <w:r w:rsidRPr="00617DF3">
        <w:rPr>
          <w:rFonts w:ascii="Times New Roman" w:hAnsi="Times New Roman" w:cs="Times New Roman"/>
          <w:sz w:val="24"/>
          <w:szCs w:val="24"/>
        </w:rPr>
        <w:t>cognitiva</w:t>
      </w:r>
      <w:r w:rsidR="008401DE" w:rsidRPr="00617DF3">
        <w:rPr>
          <w:rFonts w:ascii="Times New Roman" w:hAnsi="Times New Roman" w:cs="Times New Roman"/>
          <w:sz w:val="24"/>
          <w:szCs w:val="24"/>
        </w:rPr>
        <w:t xml:space="preserve"> del aprendizaje</w:t>
      </w:r>
      <w:r w:rsidR="00B00FDC" w:rsidRPr="00617DF3">
        <w:rPr>
          <w:rFonts w:ascii="Times New Roman" w:hAnsi="Times New Roman" w:cs="Times New Roman"/>
          <w:sz w:val="24"/>
          <w:szCs w:val="24"/>
        </w:rPr>
        <w:t xml:space="preserve"> utilizando</w:t>
      </w:r>
      <w:r w:rsidR="00AD5AA4" w:rsidRPr="00617DF3">
        <w:rPr>
          <w:rFonts w:ascii="Times New Roman" w:hAnsi="Times New Roman" w:cs="Times New Roman"/>
          <w:sz w:val="24"/>
          <w:szCs w:val="24"/>
        </w:rPr>
        <w:t xml:space="preserve"> </w:t>
      </w:r>
      <w:r w:rsidR="00F97B5E" w:rsidRPr="00617DF3">
        <w:rPr>
          <w:rFonts w:ascii="Times New Roman" w:hAnsi="Times New Roman" w:cs="Times New Roman"/>
          <w:sz w:val="24"/>
          <w:szCs w:val="24"/>
        </w:rPr>
        <w:t xml:space="preserve">diferencialmente </w:t>
      </w:r>
      <w:r w:rsidR="00AD5AA4" w:rsidRPr="00617DF3">
        <w:rPr>
          <w:rFonts w:ascii="Times New Roman" w:hAnsi="Times New Roman" w:cs="Times New Roman"/>
          <w:sz w:val="24"/>
          <w:szCs w:val="24"/>
        </w:rPr>
        <w:t>la taxonomía de Bloom</w:t>
      </w:r>
      <w:r w:rsidR="002F7B67" w:rsidRPr="00617DF3">
        <w:rPr>
          <w:rFonts w:ascii="Times New Roman" w:hAnsi="Times New Roman" w:cs="Times New Roman"/>
          <w:sz w:val="24"/>
          <w:szCs w:val="24"/>
        </w:rPr>
        <w:t xml:space="preserve">. </w:t>
      </w:r>
      <w:r w:rsidR="00BB0AB4" w:rsidRPr="00617DF3">
        <w:rPr>
          <w:rFonts w:ascii="Times New Roman" w:hAnsi="Times New Roman" w:cs="Times New Roman"/>
          <w:sz w:val="24"/>
          <w:szCs w:val="24"/>
        </w:rPr>
        <w:t xml:space="preserve">Metodológicamente, </w:t>
      </w:r>
      <w:r w:rsidR="004F68C4" w:rsidRPr="00617DF3">
        <w:rPr>
          <w:rFonts w:ascii="Times New Roman" w:hAnsi="Times New Roman" w:cs="Times New Roman"/>
          <w:sz w:val="24"/>
          <w:szCs w:val="24"/>
        </w:rPr>
        <w:t xml:space="preserve">en </w:t>
      </w:r>
      <w:r w:rsidR="007B788C" w:rsidRPr="00617DF3">
        <w:rPr>
          <w:rFonts w:ascii="Times New Roman" w:hAnsi="Times New Roman" w:cs="Times New Roman"/>
          <w:sz w:val="24"/>
          <w:szCs w:val="24"/>
        </w:rPr>
        <w:t xml:space="preserve">la práctica experiencial </w:t>
      </w:r>
      <w:r w:rsidR="00BB0AB4" w:rsidRPr="00617DF3">
        <w:rPr>
          <w:rFonts w:ascii="Times New Roman" w:hAnsi="Times New Roman" w:cs="Times New Roman"/>
          <w:sz w:val="24"/>
          <w:szCs w:val="24"/>
        </w:rPr>
        <w:t xml:space="preserve">se estimaron indicadores de atención y de activación </w:t>
      </w:r>
      <w:r w:rsidR="00297095" w:rsidRPr="00617DF3">
        <w:rPr>
          <w:rFonts w:ascii="Times New Roman" w:hAnsi="Times New Roman" w:cs="Times New Roman"/>
          <w:sz w:val="24"/>
          <w:szCs w:val="24"/>
        </w:rPr>
        <w:t>obtenidos con</w:t>
      </w:r>
      <w:r w:rsidR="00040BF0" w:rsidRPr="00617DF3">
        <w:rPr>
          <w:rFonts w:ascii="Times New Roman" w:hAnsi="Times New Roman" w:cs="Times New Roman"/>
          <w:sz w:val="24"/>
          <w:szCs w:val="24"/>
        </w:rPr>
        <w:t xml:space="preserve"> el dispositivo</w:t>
      </w:r>
      <w:r w:rsidR="00BB0AB4" w:rsidRPr="00617DF3">
        <w:rPr>
          <w:rFonts w:ascii="Times New Roman" w:hAnsi="Times New Roman" w:cs="Times New Roman"/>
          <w:sz w:val="24"/>
          <w:szCs w:val="24"/>
        </w:rPr>
        <w:t xml:space="preserve"> GS</w:t>
      </w:r>
      <w:r w:rsidR="00297095" w:rsidRPr="00617DF3">
        <w:rPr>
          <w:rFonts w:ascii="Times New Roman" w:hAnsi="Times New Roman" w:cs="Times New Roman"/>
          <w:sz w:val="24"/>
          <w:szCs w:val="24"/>
        </w:rPr>
        <w:t>R</w:t>
      </w:r>
      <w:r w:rsidR="00A97495" w:rsidRPr="00617DF3">
        <w:rPr>
          <w:rFonts w:ascii="Times New Roman" w:hAnsi="Times New Roman" w:cs="Times New Roman"/>
          <w:sz w:val="24"/>
          <w:szCs w:val="24"/>
        </w:rPr>
        <w:t>, y</w:t>
      </w:r>
      <w:r w:rsidR="00577326" w:rsidRPr="00617DF3">
        <w:rPr>
          <w:rFonts w:ascii="Times New Roman" w:hAnsi="Times New Roman" w:cs="Times New Roman"/>
          <w:sz w:val="24"/>
          <w:szCs w:val="24"/>
        </w:rPr>
        <w:t xml:space="preserve"> </w:t>
      </w:r>
      <w:r w:rsidR="00A97495" w:rsidRPr="00617DF3">
        <w:rPr>
          <w:rFonts w:ascii="Times New Roman" w:hAnsi="Times New Roman" w:cs="Times New Roman"/>
          <w:sz w:val="24"/>
          <w:szCs w:val="24"/>
        </w:rPr>
        <w:t xml:space="preserve">se establecieron ventanas de medición y áreas de interés para </w:t>
      </w:r>
      <w:proofErr w:type="spellStart"/>
      <w:r w:rsidR="00A97495" w:rsidRPr="00617DF3">
        <w:rPr>
          <w:rFonts w:ascii="Times New Roman" w:hAnsi="Times New Roman" w:cs="Times New Roman"/>
          <w:sz w:val="24"/>
          <w:szCs w:val="24"/>
        </w:rPr>
        <w:t>eye</w:t>
      </w:r>
      <w:proofErr w:type="spellEnd"/>
      <w:r w:rsidR="00A97495" w:rsidRPr="00617DF3">
        <w:rPr>
          <w:rFonts w:ascii="Times New Roman" w:hAnsi="Times New Roman" w:cs="Times New Roman"/>
          <w:sz w:val="24"/>
          <w:szCs w:val="24"/>
        </w:rPr>
        <w:t>-tracking</w:t>
      </w:r>
      <w:r w:rsidR="00B21DED" w:rsidRPr="00617DF3">
        <w:rPr>
          <w:rFonts w:ascii="Times New Roman" w:hAnsi="Times New Roman" w:cs="Times New Roman"/>
          <w:sz w:val="24"/>
          <w:szCs w:val="24"/>
        </w:rPr>
        <w:t>. La información recabada fue</w:t>
      </w:r>
      <w:r w:rsidR="00A97495" w:rsidRPr="00617DF3">
        <w:rPr>
          <w:rFonts w:ascii="Times New Roman" w:hAnsi="Times New Roman" w:cs="Times New Roman"/>
          <w:sz w:val="24"/>
          <w:szCs w:val="24"/>
        </w:rPr>
        <w:t xml:space="preserve"> </w:t>
      </w:r>
      <w:r w:rsidR="00577326" w:rsidRPr="00617DF3">
        <w:rPr>
          <w:rFonts w:ascii="Times New Roman" w:hAnsi="Times New Roman" w:cs="Times New Roman"/>
          <w:sz w:val="24"/>
          <w:szCs w:val="24"/>
        </w:rPr>
        <w:t>an</w:t>
      </w:r>
      <w:r w:rsidR="00B21DED" w:rsidRPr="00617DF3">
        <w:rPr>
          <w:rFonts w:ascii="Times New Roman" w:hAnsi="Times New Roman" w:cs="Times New Roman"/>
          <w:sz w:val="24"/>
          <w:szCs w:val="24"/>
        </w:rPr>
        <w:t>alizada</w:t>
      </w:r>
      <w:r w:rsidR="00577326" w:rsidRPr="00617DF3">
        <w:rPr>
          <w:rFonts w:ascii="Times New Roman" w:hAnsi="Times New Roman" w:cs="Times New Roman"/>
          <w:sz w:val="24"/>
          <w:szCs w:val="24"/>
        </w:rPr>
        <w:t xml:space="preserve"> y </w:t>
      </w:r>
      <w:r w:rsidR="00B21DED" w:rsidRPr="00617DF3">
        <w:rPr>
          <w:rFonts w:ascii="Times New Roman" w:hAnsi="Times New Roman" w:cs="Times New Roman"/>
          <w:sz w:val="24"/>
          <w:szCs w:val="24"/>
        </w:rPr>
        <w:t xml:space="preserve">empleada </w:t>
      </w:r>
      <w:r w:rsidR="0076167D" w:rsidRPr="00617DF3">
        <w:rPr>
          <w:rFonts w:ascii="Times New Roman" w:hAnsi="Times New Roman" w:cs="Times New Roman"/>
          <w:sz w:val="24"/>
          <w:szCs w:val="24"/>
        </w:rPr>
        <w:t>para la justificación de las</w:t>
      </w:r>
      <w:r w:rsidR="00577326" w:rsidRPr="00617DF3">
        <w:rPr>
          <w:rFonts w:ascii="Times New Roman" w:hAnsi="Times New Roman" w:cs="Times New Roman"/>
          <w:sz w:val="24"/>
          <w:szCs w:val="24"/>
        </w:rPr>
        <w:t xml:space="preserve"> estrategias de mercadotecnia </w:t>
      </w:r>
      <w:r w:rsidR="0076167D" w:rsidRPr="00617DF3">
        <w:rPr>
          <w:rFonts w:ascii="Times New Roman" w:hAnsi="Times New Roman" w:cs="Times New Roman"/>
          <w:sz w:val="24"/>
          <w:szCs w:val="24"/>
        </w:rPr>
        <w:t>creadas</w:t>
      </w:r>
      <w:r w:rsidR="00F802F2" w:rsidRPr="00617DF3">
        <w:rPr>
          <w:rFonts w:ascii="Times New Roman" w:hAnsi="Times New Roman" w:cs="Times New Roman"/>
          <w:sz w:val="24"/>
          <w:szCs w:val="24"/>
        </w:rPr>
        <w:t xml:space="preserve">, lo que permitió alinear </w:t>
      </w:r>
      <w:r w:rsidR="000B75B7" w:rsidRPr="00617DF3">
        <w:rPr>
          <w:rFonts w:ascii="Times New Roman" w:hAnsi="Times New Roman" w:cs="Times New Roman"/>
          <w:sz w:val="24"/>
          <w:szCs w:val="24"/>
        </w:rPr>
        <w:t>las tareas</w:t>
      </w:r>
      <w:r w:rsidR="00F802F2" w:rsidRPr="00617DF3">
        <w:rPr>
          <w:rFonts w:ascii="Times New Roman" w:hAnsi="Times New Roman" w:cs="Times New Roman"/>
          <w:sz w:val="24"/>
          <w:szCs w:val="24"/>
        </w:rPr>
        <w:t xml:space="preserve"> con</w:t>
      </w:r>
      <w:r w:rsidR="002169A1" w:rsidRPr="00617DF3">
        <w:rPr>
          <w:rFonts w:ascii="Times New Roman" w:hAnsi="Times New Roman" w:cs="Times New Roman"/>
          <w:sz w:val="24"/>
          <w:szCs w:val="24"/>
        </w:rPr>
        <w:t xml:space="preserve"> los niveles de Bloom</w:t>
      </w:r>
      <w:r w:rsidR="00BB0AB4" w:rsidRPr="00617DF3">
        <w:rPr>
          <w:rFonts w:ascii="Times New Roman" w:hAnsi="Times New Roman" w:cs="Times New Roman"/>
          <w:sz w:val="24"/>
          <w:szCs w:val="24"/>
        </w:rPr>
        <w:t>, a fin de vincular la demanda cognitiva con marcadores objetivos.</w:t>
      </w:r>
      <w:r w:rsidR="003B5608" w:rsidRPr="00617DF3">
        <w:rPr>
          <w:rFonts w:ascii="Times New Roman" w:hAnsi="Times New Roman" w:cs="Times New Roman"/>
          <w:sz w:val="24"/>
          <w:szCs w:val="24"/>
        </w:rPr>
        <w:t xml:space="preserve"> Además, </w:t>
      </w:r>
      <w:r w:rsidR="002F1A8D" w:rsidRPr="00617DF3">
        <w:rPr>
          <w:rFonts w:ascii="Times New Roman" w:hAnsi="Times New Roman" w:cs="Times New Roman"/>
          <w:sz w:val="24"/>
          <w:szCs w:val="24"/>
        </w:rPr>
        <w:t xml:space="preserve">se </w:t>
      </w:r>
      <w:r w:rsidR="008D730C" w:rsidRPr="00617DF3">
        <w:rPr>
          <w:rFonts w:ascii="Times New Roman" w:hAnsi="Times New Roman" w:cs="Times New Roman"/>
          <w:sz w:val="24"/>
          <w:szCs w:val="24"/>
        </w:rPr>
        <w:t>mide</w:t>
      </w:r>
      <w:r w:rsidR="003B5608" w:rsidRPr="00617DF3">
        <w:rPr>
          <w:rFonts w:ascii="Times New Roman" w:hAnsi="Times New Roman" w:cs="Times New Roman"/>
          <w:sz w:val="24"/>
          <w:szCs w:val="24"/>
        </w:rPr>
        <w:t xml:space="preserve"> el valor del aprendizaje y la experiencia del mismo ganado a través de estas herramientas.</w:t>
      </w:r>
    </w:p>
    <w:p w14:paraId="3B86546F" w14:textId="77777777" w:rsidR="004918F0" w:rsidRPr="00617DF3" w:rsidRDefault="004918F0" w:rsidP="003C6959">
      <w:pPr>
        <w:spacing w:after="0" w:line="240" w:lineRule="auto"/>
        <w:jc w:val="both"/>
        <w:rPr>
          <w:rFonts w:ascii="Times New Roman" w:hAnsi="Times New Roman" w:cs="Times New Roman"/>
          <w:sz w:val="24"/>
          <w:szCs w:val="24"/>
        </w:rPr>
      </w:pPr>
    </w:p>
    <w:p w14:paraId="2B61F6CC" w14:textId="1A844490" w:rsidR="004918F0" w:rsidRPr="00617DF3" w:rsidRDefault="002F2AD1" w:rsidP="003C6959">
      <w:pPr>
        <w:spacing w:after="0" w:line="240" w:lineRule="auto"/>
        <w:jc w:val="both"/>
        <w:rPr>
          <w:rFonts w:ascii="Times New Roman" w:hAnsi="Times New Roman" w:cs="Times New Roman"/>
          <w:sz w:val="24"/>
          <w:szCs w:val="24"/>
        </w:rPr>
      </w:pPr>
      <w:r w:rsidRPr="00617DF3">
        <w:rPr>
          <w:rFonts w:ascii="Times New Roman" w:hAnsi="Times New Roman" w:cs="Times New Roman"/>
          <w:sz w:val="24"/>
          <w:szCs w:val="24"/>
        </w:rPr>
        <w:t>L</w:t>
      </w:r>
      <w:r w:rsidR="00413A2F" w:rsidRPr="00617DF3">
        <w:rPr>
          <w:rFonts w:ascii="Times New Roman" w:hAnsi="Times New Roman" w:cs="Times New Roman"/>
          <w:sz w:val="24"/>
          <w:szCs w:val="24"/>
        </w:rPr>
        <w:t xml:space="preserve">as </w:t>
      </w:r>
      <w:r w:rsidRPr="00617DF3">
        <w:rPr>
          <w:rFonts w:ascii="Times New Roman" w:hAnsi="Times New Roman" w:cs="Times New Roman"/>
          <w:sz w:val="24"/>
          <w:szCs w:val="24"/>
        </w:rPr>
        <w:t>principales</w:t>
      </w:r>
      <w:r w:rsidR="00413A2F" w:rsidRPr="00617DF3">
        <w:rPr>
          <w:rFonts w:ascii="Times New Roman" w:hAnsi="Times New Roman" w:cs="Times New Roman"/>
          <w:sz w:val="24"/>
          <w:szCs w:val="24"/>
        </w:rPr>
        <w:t xml:space="preserve"> contribuciones</w:t>
      </w:r>
      <w:r w:rsidRPr="00617DF3">
        <w:rPr>
          <w:rFonts w:ascii="Times New Roman" w:hAnsi="Times New Roman" w:cs="Times New Roman"/>
          <w:sz w:val="24"/>
          <w:szCs w:val="24"/>
        </w:rPr>
        <w:t xml:space="preserve"> detectadas son</w:t>
      </w:r>
      <w:r w:rsidR="00413A2F" w:rsidRPr="00617DF3">
        <w:rPr>
          <w:rFonts w:ascii="Times New Roman" w:hAnsi="Times New Roman" w:cs="Times New Roman"/>
          <w:sz w:val="24"/>
          <w:szCs w:val="24"/>
        </w:rPr>
        <w:t>:</w:t>
      </w:r>
      <w:r w:rsidR="004918F0" w:rsidRPr="00617DF3">
        <w:rPr>
          <w:rFonts w:ascii="Times New Roman" w:hAnsi="Times New Roman" w:cs="Times New Roman"/>
          <w:sz w:val="24"/>
          <w:szCs w:val="24"/>
        </w:rPr>
        <w:t xml:space="preserve"> </w:t>
      </w:r>
      <w:r w:rsidR="00413A2F" w:rsidRPr="00617DF3">
        <w:rPr>
          <w:rFonts w:ascii="Times New Roman" w:hAnsi="Times New Roman" w:cs="Times New Roman"/>
          <w:sz w:val="24"/>
          <w:szCs w:val="24"/>
        </w:rPr>
        <w:t xml:space="preserve">(i) </w:t>
      </w:r>
      <w:r w:rsidR="004918F0" w:rsidRPr="00617DF3">
        <w:rPr>
          <w:rFonts w:ascii="Times New Roman" w:hAnsi="Times New Roman" w:cs="Times New Roman"/>
          <w:sz w:val="24"/>
          <w:szCs w:val="24"/>
        </w:rPr>
        <w:t>Presenta una síntesis crítica que delimita alcances</w:t>
      </w:r>
      <w:r w:rsidR="00C334FD" w:rsidRPr="00617DF3">
        <w:rPr>
          <w:rFonts w:ascii="Times New Roman" w:hAnsi="Times New Roman" w:cs="Times New Roman"/>
          <w:sz w:val="24"/>
          <w:szCs w:val="24"/>
        </w:rPr>
        <w:t xml:space="preserve"> y </w:t>
      </w:r>
      <w:r w:rsidR="004918F0" w:rsidRPr="00617DF3">
        <w:rPr>
          <w:rFonts w:ascii="Times New Roman" w:hAnsi="Times New Roman" w:cs="Times New Roman"/>
          <w:sz w:val="24"/>
          <w:szCs w:val="24"/>
        </w:rPr>
        <w:t>herramientas</w:t>
      </w:r>
      <w:r w:rsidR="00C334FD" w:rsidRPr="00617DF3">
        <w:rPr>
          <w:rFonts w:ascii="Times New Roman" w:hAnsi="Times New Roman" w:cs="Times New Roman"/>
          <w:sz w:val="24"/>
          <w:szCs w:val="24"/>
        </w:rPr>
        <w:t xml:space="preserve"> </w:t>
      </w:r>
      <w:r w:rsidR="004918F0" w:rsidRPr="00617DF3">
        <w:rPr>
          <w:rFonts w:ascii="Times New Roman" w:hAnsi="Times New Roman" w:cs="Times New Roman"/>
          <w:sz w:val="24"/>
          <w:szCs w:val="24"/>
        </w:rPr>
        <w:t>del neuromarketing en educación</w:t>
      </w:r>
      <w:r w:rsidR="0027724F" w:rsidRPr="00617DF3">
        <w:rPr>
          <w:rFonts w:ascii="Times New Roman" w:hAnsi="Times New Roman" w:cs="Times New Roman"/>
          <w:sz w:val="24"/>
          <w:szCs w:val="24"/>
        </w:rPr>
        <w:t>;</w:t>
      </w:r>
      <w:r w:rsidR="004918F0" w:rsidRPr="00617DF3">
        <w:rPr>
          <w:rFonts w:ascii="Times New Roman" w:hAnsi="Times New Roman" w:cs="Times New Roman"/>
          <w:sz w:val="24"/>
          <w:szCs w:val="24"/>
        </w:rPr>
        <w:t xml:space="preserve"> </w:t>
      </w:r>
      <w:r w:rsidR="0027724F" w:rsidRPr="00617DF3">
        <w:rPr>
          <w:rFonts w:ascii="Times New Roman" w:hAnsi="Times New Roman" w:cs="Times New Roman"/>
          <w:sz w:val="24"/>
          <w:szCs w:val="24"/>
        </w:rPr>
        <w:t>(</w:t>
      </w:r>
      <w:proofErr w:type="spellStart"/>
      <w:r w:rsidR="0027724F" w:rsidRPr="00617DF3">
        <w:rPr>
          <w:rFonts w:ascii="Times New Roman" w:hAnsi="Times New Roman" w:cs="Times New Roman"/>
          <w:sz w:val="24"/>
          <w:szCs w:val="24"/>
        </w:rPr>
        <w:t>ii</w:t>
      </w:r>
      <w:proofErr w:type="spellEnd"/>
      <w:r w:rsidR="0027724F" w:rsidRPr="00617DF3">
        <w:rPr>
          <w:rFonts w:ascii="Times New Roman" w:hAnsi="Times New Roman" w:cs="Times New Roman"/>
          <w:sz w:val="24"/>
          <w:szCs w:val="24"/>
        </w:rPr>
        <w:t xml:space="preserve">) </w:t>
      </w:r>
      <w:r w:rsidR="004918F0" w:rsidRPr="00617DF3">
        <w:rPr>
          <w:rFonts w:ascii="Times New Roman" w:hAnsi="Times New Roman" w:cs="Times New Roman"/>
          <w:sz w:val="24"/>
          <w:szCs w:val="24"/>
        </w:rPr>
        <w:t xml:space="preserve">Desarrolla un marco </w:t>
      </w:r>
      <w:r w:rsidR="00BF1E24" w:rsidRPr="00617DF3">
        <w:rPr>
          <w:rFonts w:ascii="Times New Roman" w:hAnsi="Times New Roman" w:cs="Times New Roman"/>
          <w:sz w:val="24"/>
          <w:szCs w:val="24"/>
        </w:rPr>
        <w:t>de investigación</w:t>
      </w:r>
      <w:r w:rsidR="004918F0" w:rsidRPr="00617DF3">
        <w:rPr>
          <w:rFonts w:ascii="Times New Roman" w:hAnsi="Times New Roman" w:cs="Times New Roman"/>
          <w:sz w:val="24"/>
          <w:szCs w:val="24"/>
        </w:rPr>
        <w:t xml:space="preserve"> que vincula indicadores neurofisiológicos con resultados por nivel de</w:t>
      </w:r>
      <w:r w:rsidR="00AE0A82" w:rsidRPr="00617DF3">
        <w:rPr>
          <w:rFonts w:ascii="Times New Roman" w:hAnsi="Times New Roman" w:cs="Times New Roman"/>
          <w:sz w:val="24"/>
          <w:szCs w:val="24"/>
        </w:rPr>
        <w:t xml:space="preserve"> la taxonomía de</w:t>
      </w:r>
      <w:r w:rsidR="004918F0" w:rsidRPr="00617DF3">
        <w:rPr>
          <w:rFonts w:ascii="Times New Roman" w:hAnsi="Times New Roman" w:cs="Times New Roman"/>
          <w:sz w:val="24"/>
          <w:szCs w:val="24"/>
        </w:rPr>
        <w:t xml:space="preserve"> Bloom y orienta el diseño instruccional basado en evidencias</w:t>
      </w:r>
      <w:r w:rsidR="0027724F" w:rsidRPr="00617DF3">
        <w:rPr>
          <w:rFonts w:ascii="Times New Roman" w:hAnsi="Times New Roman" w:cs="Times New Roman"/>
          <w:sz w:val="24"/>
          <w:szCs w:val="24"/>
        </w:rPr>
        <w:t xml:space="preserve">; </w:t>
      </w:r>
      <w:r w:rsidR="00F76FFE" w:rsidRPr="00617DF3">
        <w:rPr>
          <w:rFonts w:ascii="Times New Roman" w:hAnsi="Times New Roman" w:cs="Times New Roman"/>
          <w:sz w:val="24"/>
          <w:szCs w:val="24"/>
        </w:rPr>
        <w:t>y</w:t>
      </w:r>
      <w:r w:rsidR="0027724F" w:rsidRPr="00617DF3">
        <w:rPr>
          <w:rFonts w:ascii="Times New Roman" w:hAnsi="Times New Roman" w:cs="Times New Roman"/>
          <w:sz w:val="24"/>
          <w:szCs w:val="24"/>
        </w:rPr>
        <w:t xml:space="preserve"> (</w:t>
      </w:r>
      <w:proofErr w:type="spellStart"/>
      <w:r w:rsidR="0027724F" w:rsidRPr="00617DF3">
        <w:rPr>
          <w:rFonts w:ascii="Times New Roman" w:hAnsi="Times New Roman" w:cs="Times New Roman"/>
          <w:sz w:val="24"/>
          <w:szCs w:val="24"/>
        </w:rPr>
        <w:t>iii</w:t>
      </w:r>
      <w:proofErr w:type="spellEnd"/>
      <w:r w:rsidR="0027724F" w:rsidRPr="00617DF3">
        <w:rPr>
          <w:rFonts w:ascii="Times New Roman" w:hAnsi="Times New Roman" w:cs="Times New Roman"/>
          <w:sz w:val="24"/>
          <w:szCs w:val="24"/>
        </w:rPr>
        <w:t>)</w:t>
      </w:r>
      <w:r w:rsidR="004918F0" w:rsidRPr="00617DF3">
        <w:rPr>
          <w:rFonts w:ascii="Times New Roman" w:hAnsi="Times New Roman" w:cs="Times New Roman"/>
          <w:sz w:val="24"/>
          <w:szCs w:val="24"/>
        </w:rPr>
        <w:t xml:space="preserve"> </w:t>
      </w:r>
      <w:r w:rsidR="00E96AD1" w:rsidRPr="00617DF3">
        <w:rPr>
          <w:rFonts w:ascii="Times New Roman" w:hAnsi="Times New Roman" w:cs="Times New Roman"/>
          <w:sz w:val="24"/>
          <w:szCs w:val="24"/>
        </w:rPr>
        <w:t>Ejemplifica</w:t>
      </w:r>
      <w:r w:rsidR="004918F0" w:rsidRPr="00617DF3">
        <w:rPr>
          <w:rFonts w:ascii="Times New Roman" w:hAnsi="Times New Roman" w:cs="Times New Roman"/>
          <w:sz w:val="24"/>
          <w:szCs w:val="24"/>
        </w:rPr>
        <w:t xml:space="preserve"> proyectos experienciales en los que estudiantes analizan y crean estrategias de marketing apoyadas en mediciones objetivas </w:t>
      </w:r>
      <w:r w:rsidR="00BF1E24" w:rsidRPr="00617DF3">
        <w:rPr>
          <w:rFonts w:ascii="Times New Roman" w:hAnsi="Times New Roman" w:cs="Times New Roman"/>
          <w:sz w:val="24"/>
          <w:szCs w:val="24"/>
        </w:rPr>
        <w:t>obtenidas a través de</w:t>
      </w:r>
      <w:r w:rsidR="00EA6BC3" w:rsidRPr="00617DF3">
        <w:rPr>
          <w:rFonts w:ascii="Times New Roman" w:hAnsi="Times New Roman" w:cs="Times New Roman"/>
          <w:sz w:val="24"/>
          <w:szCs w:val="24"/>
        </w:rPr>
        <w:t xml:space="preserve"> esta técnica</w:t>
      </w:r>
      <w:r w:rsidR="00BF1E24" w:rsidRPr="00617DF3">
        <w:rPr>
          <w:rFonts w:ascii="Times New Roman" w:hAnsi="Times New Roman" w:cs="Times New Roman"/>
          <w:sz w:val="24"/>
          <w:szCs w:val="24"/>
        </w:rPr>
        <w:t xml:space="preserve"> </w:t>
      </w:r>
      <w:r w:rsidR="004918F0" w:rsidRPr="00617DF3">
        <w:rPr>
          <w:rFonts w:ascii="Times New Roman" w:hAnsi="Times New Roman" w:cs="Times New Roman"/>
          <w:sz w:val="24"/>
          <w:szCs w:val="24"/>
        </w:rPr>
        <w:t xml:space="preserve">que </w:t>
      </w:r>
      <w:r w:rsidR="00BF1E24" w:rsidRPr="00617DF3">
        <w:rPr>
          <w:rFonts w:ascii="Times New Roman" w:hAnsi="Times New Roman" w:cs="Times New Roman"/>
          <w:sz w:val="24"/>
          <w:szCs w:val="24"/>
        </w:rPr>
        <w:t xml:space="preserve">permiten </w:t>
      </w:r>
      <w:r w:rsidR="004918F0" w:rsidRPr="00617DF3">
        <w:rPr>
          <w:rFonts w:ascii="Times New Roman" w:hAnsi="Times New Roman" w:cs="Times New Roman"/>
          <w:sz w:val="24"/>
          <w:szCs w:val="24"/>
        </w:rPr>
        <w:t>la evaluación del aprendizaje.</w:t>
      </w:r>
    </w:p>
    <w:p w14:paraId="6845CD18" w14:textId="77777777" w:rsidR="004918F0" w:rsidRPr="00617DF3" w:rsidRDefault="004918F0" w:rsidP="003C6959">
      <w:pPr>
        <w:spacing w:after="0" w:line="240" w:lineRule="auto"/>
        <w:jc w:val="both"/>
        <w:rPr>
          <w:rFonts w:ascii="Times New Roman" w:hAnsi="Times New Roman" w:cs="Times New Roman"/>
          <w:sz w:val="24"/>
          <w:szCs w:val="24"/>
        </w:rPr>
      </w:pPr>
    </w:p>
    <w:p w14:paraId="5ED9130B" w14:textId="2118F2BC" w:rsidR="00422795" w:rsidRPr="00617DF3" w:rsidRDefault="004918F0" w:rsidP="003C6959">
      <w:pPr>
        <w:spacing w:after="0" w:line="240" w:lineRule="auto"/>
        <w:jc w:val="both"/>
        <w:rPr>
          <w:rFonts w:ascii="Times New Roman" w:hAnsi="Times New Roman" w:cs="Times New Roman"/>
          <w:sz w:val="24"/>
          <w:szCs w:val="24"/>
        </w:rPr>
      </w:pPr>
      <w:r w:rsidRPr="00617DF3">
        <w:rPr>
          <w:rFonts w:ascii="Times New Roman" w:hAnsi="Times New Roman" w:cs="Times New Roman"/>
          <w:sz w:val="24"/>
          <w:szCs w:val="24"/>
        </w:rPr>
        <w:t>El documento</w:t>
      </w:r>
      <w:r w:rsidR="002426BA" w:rsidRPr="00617DF3">
        <w:rPr>
          <w:rFonts w:ascii="Times New Roman" w:hAnsi="Times New Roman" w:cs="Times New Roman"/>
          <w:sz w:val="24"/>
          <w:szCs w:val="24"/>
        </w:rPr>
        <w:t xml:space="preserve"> </w:t>
      </w:r>
      <w:r w:rsidRPr="00617DF3">
        <w:rPr>
          <w:rFonts w:ascii="Times New Roman" w:hAnsi="Times New Roman" w:cs="Times New Roman"/>
          <w:sz w:val="24"/>
          <w:szCs w:val="24"/>
        </w:rPr>
        <w:t>detalla la metodología experi</w:t>
      </w:r>
      <w:r w:rsidR="00864C65" w:rsidRPr="00617DF3">
        <w:rPr>
          <w:rFonts w:ascii="Times New Roman" w:hAnsi="Times New Roman" w:cs="Times New Roman"/>
          <w:sz w:val="24"/>
          <w:szCs w:val="24"/>
        </w:rPr>
        <w:t>encial</w:t>
      </w:r>
      <w:r w:rsidR="004F69DC" w:rsidRPr="00617DF3">
        <w:rPr>
          <w:rFonts w:ascii="Times New Roman" w:hAnsi="Times New Roman" w:cs="Times New Roman"/>
          <w:sz w:val="24"/>
          <w:szCs w:val="24"/>
        </w:rPr>
        <w:t xml:space="preserve">, </w:t>
      </w:r>
      <w:r w:rsidRPr="00617DF3">
        <w:rPr>
          <w:rFonts w:ascii="Times New Roman" w:hAnsi="Times New Roman" w:cs="Times New Roman"/>
          <w:sz w:val="24"/>
          <w:szCs w:val="24"/>
        </w:rPr>
        <w:t>presenta y discute los resultados. Finalmente, se sintetizan las implicaciones pedagógicas, las limitaciones y las direcciones para investigaciones futuras.</w:t>
      </w:r>
    </w:p>
    <w:p w14:paraId="68DB6012" w14:textId="77777777" w:rsidR="00B146DD" w:rsidRPr="00617DF3" w:rsidRDefault="00B146DD" w:rsidP="003C6959">
      <w:pPr>
        <w:spacing w:after="0" w:line="240" w:lineRule="auto"/>
        <w:jc w:val="both"/>
        <w:rPr>
          <w:rFonts w:ascii="Times New Roman" w:hAnsi="Times New Roman" w:cs="Times New Roman"/>
          <w:sz w:val="24"/>
          <w:szCs w:val="24"/>
        </w:rPr>
      </w:pPr>
    </w:p>
    <w:p w14:paraId="7EF742F5" w14:textId="47CBFD70" w:rsidR="00FB130D" w:rsidRPr="00617DF3" w:rsidRDefault="00A82493" w:rsidP="003C6959">
      <w:pPr>
        <w:spacing w:after="0" w:line="240" w:lineRule="auto"/>
        <w:jc w:val="center"/>
        <w:rPr>
          <w:rFonts w:ascii="Times New Roman" w:hAnsi="Times New Roman" w:cs="Times New Roman"/>
          <w:b/>
          <w:bCs/>
          <w:sz w:val="24"/>
          <w:szCs w:val="24"/>
        </w:rPr>
      </w:pPr>
      <w:r w:rsidRPr="00617DF3">
        <w:rPr>
          <w:rFonts w:ascii="Times New Roman" w:hAnsi="Times New Roman" w:cs="Times New Roman"/>
          <w:b/>
          <w:bCs/>
          <w:sz w:val="24"/>
          <w:szCs w:val="24"/>
        </w:rPr>
        <w:t>Metodología</w:t>
      </w:r>
    </w:p>
    <w:p w14:paraId="0511EDB5" w14:textId="77777777" w:rsidR="001073FC" w:rsidRPr="00617DF3" w:rsidRDefault="001073FC" w:rsidP="003C6959">
      <w:pPr>
        <w:spacing w:after="0" w:line="240" w:lineRule="auto"/>
        <w:jc w:val="both"/>
        <w:rPr>
          <w:rFonts w:ascii="Times New Roman" w:hAnsi="Times New Roman" w:cs="Times New Roman"/>
          <w:b/>
          <w:bCs/>
          <w:sz w:val="24"/>
          <w:szCs w:val="24"/>
        </w:rPr>
      </w:pPr>
    </w:p>
    <w:p w14:paraId="67A7899D" w14:textId="5F470E25" w:rsidR="00A82493" w:rsidRPr="00617DF3" w:rsidRDefault="00A82493" w:rsidP="0061135D">
      <w:pPr>
        <w:spacing w:after="0" w:line="240" w:lineRule="auto"/>
        <w:ind w:firstLine="708"/>
        <w:jc w:val="both"/>
        <w:rPr>
          <w:rFonts w:ascii="Times New Roman" w:hAnsi="Times New Roman" w:cs="Times New Roman"/>
          <w:sz w:val="24"/>
          <w:szCs w:val="24"/>
        </w:rPr>
      </w:pPr>
      <w:r w:rsidRPr="00617DF3">
        <w:rPr>
          <w:rFonts w:ascii="Times New Roman" w:hAnsi="Times New Roman" w:cs="Times New Roman"/>
          <w:sz w:val="24"/>
          <w:szCs w:val="24"/>
        </w:rPr>
        <w:t>La investigación adoptó un diseño experi</w:t>
      </w:r>
      <w:r w:rsidR="003F7CC0" w:rsidRPr="00617DF3">
        <w:rPr>
          <w:rFonts w:ascii="Times New Roman" w:hAnsi="Times New Roman" w:cs="Times New Roman"/>
          <w:sz w:val="24"/>
          <w:szCs w:val="24"/>
        </w:rPr>
        <w:t>encial</w:t>
      </w:r>
      <w:r w:rsidRPr="00617DF3">
        <w:rPr>
          <w:rFonts w:ascii="Times New Roman" w:hAnsi="Times New Roman" w:cs="Times New Roman"/>
          <w:sz w:val="24"/>
          <w:szCs w:val="24"/>
        </w:rPr>
        <w:t xml:space="preserve"> desarrollado en un laboratorio de neuro</w:t>
      </w:r>
      <w:r w:rsidR="00EA6BC3" w:rsidRPr="00617DF3">
        <w:rPr>
          <w:rFonts w:ascii="Times New Roman" w:hAnsi="Times New Roman" w:cs="Times New Roman"/>
          <w:sz w:val="24"/>
          <w:szCs w:val="24"/>
        </w:rPr>
        <w:t>marketing</w:t>
      </w:r>
      <w:r w:rsidRPr="00617DF3">
        <w:rPr>
          <w:rFonts w:ascii="Times New Roman" w:hAnsi="Times New Roman" w:cs="Times New Roman"/>
          <w:sz w:val="24"/>
          <w:szCs w:val="24"/>
        </w:rPr>
        <w:t xml:space="preserve"> con la participación de 106 estudiantes de licenciatura inscritos en el tercer semestre del programa de negocios. </w:t>
      </w:r>
      <w:r w:rsidR="007A2588" w:rsidRPr="00617DF3">
        <w:rPr>
          <w:rFonts w:ascii="Times New Roman" w:hAnsi="Times New Roman" w:cs="Times New Roman"/>
          <w:sz w:val="24"/>
          <w:szCs w:val="24"/>
        </w:rPr>
        <w:t xml:space="preserve">El criterio de inclusión fue que todos los alumnos estuvieran </w:t>
      </w:r>
      <w:r w:rsidR="00247B01" w:rsidRPr="00617DF3">
        <w:rPr>
          <w:rFonts w:ascii="Times New Roman" w:hAnsi="Times New Roman" w:cs="Times New Roman"/>
          <w:sz w:val="24"/>
          <w:szCs w:val="24"/>
        </w:rPr>
        <w:t>cursando</w:t>
      </w:r>
      <w:r w:rsidR="007A2588" w:rsidRPr="00617DF3">
        <w:rPr>
          <w:rFonts w:ascii="Times New Roman" w:hAnsi="Times New Roman" w:cs="Times New Roman"/>
          <w:sz w:val="24"/>
          <w:szCs w:val="24"/>
        </w:rPr>
        <w:t xml:space="preserve"> la materia de Estrategias de Mercadotecnia. </w:t>
      </w:r>
      <w:r w:rsidRPr="00617DF3">
        <w:rPr>
          <w:rFonts w:ascii="Times New Roman" w:hAnsi="Times New Roman" w:cs="Times New Roman"/>
          <w:sz w:val="24"/>
          <w:szCs w:val="24"/>
        </w:rPr>
        <w:t xml:space="preserve">El objetivo central consistió en analizar las preferencias del consumidor respecto a diferentes sabores de </w:t>
      </w:r>
      <w:r w:rsidR="00521EED" w:rsidRPr="00617DF3">
        <w:rPr>
          <w:rFonts w:ascii="Times New Roman" w:hAnsi="Times New Roman" w:cs="Times New Roman"/>
          <w:sz w:val="24"/>
          <w:szCs w:val="24"/>
        </w:rPr>
        <w:t xml:space="preserve">un </w:t>
      </w:r>
      <w:r w:rsidR="00BC39C2" w:rsidRPr="00617DF3">
        <w:rPr>
          <w:rFonts w:ascii="Times New Roman" w:hAnsi="Times New Roman" w:cs="Times New Roman"/>
          <w:sz w:val="24"/>
          <w:szCs w:val="24"/>
        </w:rPr>
        <w:t>producto mediante</w:t>
      </w:r>
      <w:r w:rsidRPr="00617DF3">
        <w:rPr>
          <w:rFonts w:ascii="Times New Roman" w:hAnsi="Times New Roman" w:cs="Times New Roman"/>
          <w:sz w:val="24"/>
          <w:szCs w:val="24"/>
        </w:rPr>
        <w:t xml:space="preserve"> técnicas de medición neurocientífica. Previo a su participación, cada estudiante fue informado sobre los propósitos y procedimientos del estudio, otorgando su consentimiento informado y firmando un aviso de privacidad en conformidad con los estándares éticos de investigación. </w:t>
      </w:r>
    </w:p>
    <w:p w14:paraId="2CFAB2FF" w14:textId="77777777" w:rsidR="00A82493" w:rsidRPr="00617DF3" w:rsidRDefault="00A82493" w:rsidP="003C6959">
      <w:pPr>
        <w:spacing w:after="0" w:line="240" w:lineRule="auto"/>
        <w:jc w:val="both"/>
        <w:rPr>
          <w:rFonts w:ascii="Times New Roman" w:hAnsi="Times New Roman" w:cs="Times New Roman"/>
          <w:sz w:val="24"/>
          <w:szCs w:val="24"/>
        </w:rPr>
      </w:pPr>
    </w:p>
    <w:p w14:paraId="47EA8290" w14:textId="66C22D28" w:rsidR="00541EF5" w:rsidRPr="00617DF3" w:rsidRDefault="00A82493" w:rsidP="003C6959">
      <w:pPr>
        <w:spacing w:after="0" w:line="240" w:lineRule="auto"/>
        <w:jc w:val="both"/>
        <w:rPr>
          <w:rFonts w:ascii="Times New Roman" w:hAnsi="Times New Roman" w:cs="Times New Roman"/>
          <w:sz w:val="24"/>
          <w:szCs w:val="24"/>
        </w:rPr>
      </w:pPr>
      <w:r w:rsidRPr="00617DF3">
        <w:rPr>
          <w:rFonts w:ascii="Times New Roman" w:hAnsi="Times New Roman" w:cs="Times New Roman"/>
          <w:sz w:val="24"/>
          <w:szCs w:val="24"/>
        </w:rPr>
        <w:t>El procedimiento se ejecutó en etapas secuenciales: exposición visual al producto, interacción olfativa y experiencia gustativa, registrándose las respuestas fisiológicas en cada momento. Posteriormente, se aplicó el mismo protocolo a un segundo sabor</w:t>
      </w:r>
      <w:r w:rsidR="006A793B" w:rsidRPr="00617DF3">
        <w:rPr>
          <w:rFonts w:ascii="Times New Roman" w:hAnsi="Times New Roman" w:cs="Times New Roman"/>
          <w:sz w:val="24"/>
          <w:szCs w:val="24"/>
        </w:rPr>
        <w:t xml:space="preserve"> del producto</w:t>
      </w:r>
      <w:r w:rsidRPr="00617DF3">
        <w:rPr>
          <w:rFonts w:ascii="Times New Roman" w:hAnsi="Times New Roman" w:cs="Times New Roman"/>
          <w:sz w:val="24"/>
          <w:szCs w:val="24"/>
        </w:rPr>
        <w:t xml:space="preserve"> con el fin de realizar comparaciones entre estímulos. Cada participante fue evaluado individualmente en condiciones controladas mediante un dispositivo GSR para medir la activación fisiológica</w:t>
      </w:r>
      <w:r w:rsidR="00AF3370" w:rsidRPr="00617DF3">
        <w:rPr>
          <w:rFonts w:ascii="Times New Roman" w:hAnsi="Times New Roman" w:cs="Times New Roman"/>
          <w:sz w:val="24"/>
          <w:szCs w:val="24"/>
        </w:rPr>
        <w:t xml:space="preserve"> de la piel</w:t>
      </w:r>
      <w:r w:rsidRPr="00617DF3">
        <w:rPr>
          <w:rFonts w:ascii="Times New Roman" w:hAnsi="Times New Roman" w:cs="Times New Roman"/>
          <w:sz w:val="24"/>
          <w:szCs w:val="24"/>
        </w:rPr>
        <w:t xml:space="preserve"> y un rastreador ocular para registrar la atención.</w:t>
      </w:r>
    </w:p>
    <w:p w14:paraId="2AE007E2" w14:textId="77777777" w:rsidR="00541EF5" w:rsidRPr="00617DF3" w:rsidRDefault="00541EF5" w:rsidP="003C6959">
      <w:pPr>
        <w:spacing w:after="0" w:line="240" w:lineRule="auto"/>
        <w:jc w:val="both"/>
        <w:rPr>
          <w:rFonts w:ascii="Times New Roman" w:hAnsi="Times New Roman" w:cs="Times New Roman"/>
          <w:sz w:val="24"/>
          <w:szCs w:val="24"/>
        </w:rPr>
      </w:pPr>
    </w:p>
    <w:p w14:paraId="574B1496" w14:textId="1897C720" w:rsidR="00A82493" w:rsidRPr="00617DF3" w:rsidRDefault="00541EF5" w:rsidP="003C6959">
      <w:pPr>
        <w:spacing w:after="0" w:line="240" w:lineRule="auto"/>
        <w:jc w:val="both"/>
        <w:rPr>
          <w:rFonts w:ascii="Times New Roman" w:hAnsi="Times New Roman" w:cs="Times New Roman"/>
          <w:sz w:val="24"/>
          <w:szCs w:val="24"/>
        </w:rPr>
      </w:pPr>
      <w:r w:rsidRPr="00617DF3">
        <w:rPr>
          <w:rFonts w:ascii="Times New Roman" w:hAnsi="Times New Roman" w:cs="Times New Roman"/>
          <w:sz w:val="24"/>
          <w:szCs w:val="24"/>
        </w:rPr>
        <w:t xml:space="preserve">Se emplearon dos instrumentos: GSR </w:t>
      </w:r>
      <w:proofErr w:type="spellStart"/>
      <w:r w:rsidRPr="00617DF3">
        <w:rPr>
          <w:rFonts w:ascii="Times New Roman" w:hAnsi="Times New Roman" w:cs="Times New Roman"/>
          <w:sz w:val="24"/>
          <w:szCs w:val="24"/>
        </w:rPr>
        <w:t>Mindfield</w:t>
      </w:r>
      <w:proofErr w:type="spellEnd"/>
      <w:r w:rsidRPr="00617DF3">
        <w:rPr>
          <w:rFonts w:ascii="Times New Roman" w:hAnsi="Times New Roman" w:cs="Times New Roman"/>
          <w:sz w:val="24"/>
          <w:szCs w:val="24"/>
        </w:rPr>
        <w:t xml:space="preserve">® </w:t>
      </w:r>
      <w:proofErr w:type="spellStart"/>
      <w:r w:rsidRPr="00617DF3">
        <w:rPr>
          <w:rFonts w:ascii="Times New Roman" w:hAnsi="Times New Roman" w:cs="Times New Roman"/>
          <w:sz w:val="24"/>
          <w:szCs w:val="24"/>
        </w:rPr>
        <w:t>eSense</w:t>
      </w:r>
      <w:proofErr w:type="spellEnd"/>
      <w:r w:rsidRPr="00617DF3">
        <w:rPr>
          <w:rFonts w:ascii="Times New Roman" w:hAnsi="Times New Roman" w:cs="Times New Roman"/>
          <w:sz w:val="24"/>
          <w:szCs w:val="24"/>
        </w:rPr>
        <w:t xml:space="preserve"> (0.61 V DC; 61.5</w:t>
      </w:r>
      <w:r w:rsidR="00A45642" w:rsidRPr="00617DF3">
        <w:rPr>
          <w:rFonts w:ascii="Times New Roman" w:hAnsi="Times New Roman" w:cs="Times New Roman"/>
          <w:sz w:val="24"/>
          <w:szCs w:val="24"/>
        </w:rPr>
        <w:t>0</w:t>
      </w:r>
      <w:r w:rsidRPr="00617DF3">
        <w:rPr>
          <w:rFonts w:ascii="Times New Roman" w:hAnsi="Times New Roman" w:cs="Times New Roman"/>
          <w:sz w:val="24"/>
          <w:szCs w:val="24"/>
        </w:rPr>
        <w:t xml:space="preserve"> </w:t>
      </w:r>
      <w:proofErr w:type="spellStart"/>
      <w:r w:rsidRPr="00617DF3">
        <w:rPr>
          <w:rFonts w:ascii="Times New Roman" w:hAnsi="Times New Roman" w:cs="Times New Roman"/>
          <w:sz w:val="24"/>
          <w:szCs w:val="24"/>
        </w:rPr>
        <w:t>kΩ</w:t>
      </w:r>
      <w:proofErr w:type="spellEnd"/>
      <w:r w:rsidRPr="00617DF3">
        <w:rPr>
          <w:rFonts w:ascii="Times New Roman" w:hAnsi="Times New Roman" w:cs="Times New Roman"/>
          <w:sz w:val="24"/>
          <w:szCs w:val="24"/>
        </w:rPr>
        <w:t xml:space="preserve">), muestreo 5 Hz, app </w:t>
      </w:r>
      <w:proofErr w:type="spellStart"/>
      <w:r w:rsidRPr="00617DF3">
        <w:rPr>
          <w:rFonts w:ascii="Times New Roman" w:hAnsi="Times New Roman" w:cs="Times New Roman"/>
          <w:sz w:val="24"/>
          <w:szCs w:val="24"/>
        </w:rPr>
        <w:t>eSense</w:t>
      </w:r>
      <w:proofErr w:type="spellEnd"/>
      <w:r w:rsidRPr="00617DF3">
        <w:rPr>
          <w:rFonts w:ascii="Times New Roman" w:hAnsi="Times New Roman" w:cs="Times New Roman"/>
          <w:sz w:val="24"/>
          <w:szCs w:val="24"/>
        </w:rPr>
        <w:t xml:space="preserve">; y </w:t>
      </w:r>
      <w:r w:rsidR="00B61CF9" w:rsidRPr="00617DF3">
        <w:rPr>
          <w:rFonts w:ascii="Times New Roman" w:hAnsi="Times New Roman" w:cs="Times New Roman"/>
          <w:sz w:val="24"/>
          <w:szCs w:val="24"/>
        </w:rPr>
        <w:t>el</w:t>
      </w:r>
      <w:r w:rsidRPr="00617DF3">
        <w:rPr>
          <w:rFonts w:ascii="Times New Roman" w:hAnsi="Times New Roman" w:cs="Times New Roman"/>
          <w:sz w:val="24"/>
          <w:szCs w:val="24"/>
        </w:rPr>
        <w:t xml:space="preserve"> rastreador ocular</w:t>
      </w:r>
      <w:r w:rsidR="004D5853" w:rsidRPr="00617DF3">
        <w:rPr>
          <w:rFonts w:ascii="Times New Roman" w:hAnsi="Times New Roman" w:cs="Times New Roman"/>
          <w:sz w:val="24"/>
          <w:szCs w:val="24"/>
        </w:rPr>
        <w:t xml:space="preserve"> </w:t>
      </w:r>
      <w:proofErr w:type="spellStart"/>
      <w:r w:rsidR="00A446FA" w:rsidRPr="00617DF3">
        <w:rPr>
          <w:rFonts w:ascii="Times New Roman" w:hAnsi="Times New Roman" w:cs="Times New Roman"/>
          <w:sz w:val="24"/>
          <w:szCs w:val="24"/>
        </w:rPr>
        <w:t>Gaze</w:t>
      </w:r>
      <w:r w:rsidR="008574AA" w:rsidRPr="00617DF3">
        <w:rPr>
          <w:rFonts w:ascii="Times New Roman" w:hAnsi="Times New Roman" w:cs="Times New Roman"/>
          <w:sz w:val="24"/>
          <w:szCs w:val="24"/>
        </w:rPr>
        <w:t>Recorder</w:t>
      </w:r>
      <w:proofErr w:type="spellEnd"/>
      <w:r w:rsidRPr="00617DF3">
        <w:rPr>
          <w:rFonts w:ascii="Times New Roman" w:hAnsi="Times New Roman" w:cs="Times New Roman"/>
          <w:sz w:val="24"/>
          <w:szCs w:val="24"/>
        </w:rPr>
        <w:t xml:space="preserve"> a </w:t>
      </w:r>
      <w:r w:rsidR="00FD26E4" w:rsidRPr="00617DF3">
        <w:rPr>
          <w:rFonts w:ascii="Times New Roman" w:hAnsi="Times New Roman" w:cs="Times New Roman"/>
          <w:sz w:val="24"/>
          <w:szCs w:val="24"/>
        </w:rPr>
        <w:t>30</w:t>
      </w:r>
      <w:r w:rsidRPr="00617DF3">
        <w:rPr>
          <w:rFonts w:ascii="Times New Roman" w:hAnsi="Times New Roman" w:cs="Times New Roman"/>
          <w:sz w:val="24"/>
          <w:szCs w:val="24"/>
        </w:rPr>
        <w:t xml:space="preserve"> Hz con software </w:t>
      </w:r>
      <w:r w:rsidR="00714DC8" w:rsidRPr="00617DF3">
        <w:rPr>
          <w:rFonts w:ascii="Times New Roman" w:hAnsi="Times New Roman" w:cs="Times New Roman"/>
          <w:sz w:val="24"/>
          <w:szCs w:val="24"/>
        </w:rPr>
        <w:t xml:space="preserve">Online </w:t>
      </w:r>
      <w:proofErr w:type="spellStart"/>
      <w:r w:rsidR="005F3CA9" w:rsidRPr="00617DF3">
        <w:rPr>
          <w:rFonts w:ascii="Times New Roman" w:hAnsi="Times New Roman" w:cs="Times New Roman"/>
          <w:sz w:val="24"/>
          <w:szCs w:val="24"/>
        </w:rPr>
        <w:t>Gaze</w:t>
      </w:r>
      <w:proofErr w:type="spellEnd"/>
      <w:r w:rsidR="005F3CA9" w:rsidRPr="00617DF3">
        <w:rPr>
          <w:rFonts w:ascii="Times New Roman" w:hAnsi="Times New Roman" w:cs="Times New Roman"/>
          <w:sz w:val="24"/>
          <w:szCs w:val="24"/>
        </w:rPr>
        <w:t xml:space="preserve"> </w:t>
      </w:r>
      <w:proofErr w:type="spellStart"/>
      <w:r w:rsidR="00714DC8" w:rsidRPr="00617DF3">
        <w:rPr>
          <w:rFonts w:ascii="Times New Roman" w:hAnsi="Times New Roman" w:cs="Times New Roman"/>
          <w:sz w:val="24"/>
          <w:szCs w:val="24"/>
        </w:rPr>
        <w:t>Eye</w:t>
      </w:r>
      <w:proofErr w:type="spellEnd"/>
      <w:r w:rsidR="00714DC8" w:rsidRPr="00617DF3">
        <w:rPr>
          <w:rFonts w:ascii="Times New Roman" w:hAnsi="Times New Roman" w:cs="Times New Roman"/>
          <w:sz w:val="24"/>
          <w:szCs w:val="24"/>
        </w:rPr>
        <w:t xml:space="preserve"> Tracking Software</w:t>
      </w:r>
      <w:r w:rsidRPr="00617DF3">
        <w:rPr>
          <w:rFonts w:ascii="Times New Roman" w:hAnsi="Times New Roman" w:cs="Times New Roman"/>
          <w:sz w:val="24"/>
          <w:szCs w:val="24"/>
        </w:rPr>
        <w:t xml:space="preserve">. El procesamiento incluyó </w:t>
      </w:r>
      <w:proofErr w:type="spellStart"/>
      <w:r w:rsidRPr="00617DF3">
        <w:rPr>
          <w:rFonts w:ascii="Times New Roman" w:hAnsi="Times New Roman" w:cs="Times New Roman"/>
          <w:sz w:val="24"/>
          <w:szCs w:val="24"/>
        </w:rPr>
        <w:t>baseline</w:t>
      </w:r>
      <w:proofErr w:type="spellEnd"/>
      <w:r w:rsidRPr="00617DF3">
        <w:rPr>
          <w:rFonts w:ascii="Times New Roman" w:hAnsi="Times New Roman" w:cs="Times New Roman"/>
          <w:sz w:val="24"/>
          <w:szCs w:val="24"/>
        </w:rPr>
        <w:t xml:space="preserve"> de 5</w:t>
      </w:r>
      <w:r w:rsidR="00D2539F" w:rsidRPr="00617DF3">
        <w:rPr>
          <w:rFonts w:ascii="Times New Roman" w:hAnsi="Times New Roman" w:cs="Times New Roman"/>
          <w:sz w:val="24"/>
          <w:szCs w:val="24"/>
        </w:rPr>
        <w:t xml:space="preserve"> </w:t>
      </w:r>
      <w:r w:rsidRPr="00617DF3">
        <w:rPr>
          <w:rFonts w:ascii="Times New Roman" w:hAnsi="Times New Roman" w:cs="Times New Roman"/>
          <w:sz w:val="24"/>
          <w:szCs w:val="24"/>
        </w:rPr>
        <w:t xml:space="preserve">s </w:t>
      </w:r>
      <w:proofErr w:type="spellStart"/>
      <w:r w:rsidRPr="00617DF3">
        <w:rPr>
          <w:rFonts w:ascii="Times New Roman" w:hAnsi="Times New Roman" w:cs="Times New Roman"/>
          <w:sz w:val="24"/>
          <w:szCs w:val="24"/>
        </w:rPr>
        <w:t>pre-estímulo</w:t>
      </w:r>
      <w:proofErr w:type="spellEnd"/>
      <w:r w:rsidRPr="00617DF3">
        <w:rPr>
          <w:rFonts w:ascii="Times New Roman" w:hAnsi="Times New Roman" w:cs="Times New Roman"/>
          <w:sz w:val="24"/>
          <w:szCs w:val="24"/>
        </w:rPr>
        <w:t xml:space="preserve">, ventanas por fase (0–10 s visual; 0–10 s olfativa; 0–10 s degustación), suavizado por media móvil de 2 s y normalización z </w:t>
      </w:r>
      <w:proofErr w:type="spellStart"/>
      <w:r w:rsidRPr="00617DF3">
        <w:rPr>
          <w:rFonts w:ascii="Times New Roman" w:hAnsi="Times New Roman" w:cs="Times New Roman"/>
          <w:sz w:val="24"/>
          <w:szCs w:val="24"/>
        </w:rPr>
        <w:t>intra-sujeto</w:t>
      </w:r>
      <w:proofErr w:type="spellEnd"/>
      <w:r w:rsidRPr="00617DF3">
        <w:rPr>
          <w:rFonts w:ascii="Times New Roman" w:hAnsi="Times New Roman" w:cs="Times New Roman"/>
          <w:sz w:val="24"/>
          <w:szCs w:val="24"/>
        </w:rPr>
        <w:t xml:space="preserve">. Las variables dependientes fueron, en GSR, picos SCR y amplitud media SCR; en </w:t>
      </w:r>
      <w:proofErr w:type="spellStart"/>
      <w:r w:rsidRPr="00617DF3">
        <w:rPr>
          <w:rFonts w:ascii="Times New Roman" w:hAnsi="Times New Roman" w:cs="Times New Roman"/>
          <w:sz w:val="24"/>
          <w:szCs w:val="24"/>
        </w:rPr>
        <w:t>eye</w:t>
      </w:r>
      <w:proofErr w:type="spellEnd"/>
      <w:r w:rsidRPr="00617DF3">
        <w:rPr>
          <w:rFonts w:ascii="Times New Roman" w:hAnsi="Times New Roman" w:cs="Times New Roman"/>
          <w:sz w:val="24"/>
          <w:szCs w:val="24"/>
        </w:rPr>
        <w:t xml:space="preserve">-tracking, tiempo total de fijación y </w:t>
      </w:r>
      <w:proofErr w:type="spellStart"/>
      <w:r w:rsidRPr="00617DF3">
        <w:rPr>
          <w:rFonts w:ascii="Times New Roman" w:hAnsi="Times New Roman" w:cs="Times New Roman"/>
          <w:sz w:val="24"/>
          <w:szCs w:val="24"/>
        </w:rPr>
        <w:t>dwell</w:t>
      </w:r>
      <w:proofErr w:type="spellEnd"/>
      <w:r w:rsidRPr="00617DF3">
        <w:rPr>
          <w:rFonts w:ascii="Times New Roman" w:hAnsi="Times New Roman" w:cs="Times New Roman"/>
          <w:sz w:val="24"/>
          <w:szCs w:val="24"/>
        </w:rPr>
        <w:t xml:space="preserve"> time. El orden de sabores se contrabalanceó</w:t>
      </w:r>
      <w:r w:rsidR="00F10346" w:rsidRPr="00617DF3">
        <w:rPr>
          <w:rFonts w:ascii="Times New Roman" w:hAnsi="Times New Roman" w:cs="Times New Roman"/>
          <w:sz w:val="24"/>
          <w:szCs w:val="24"/>
        </w:rPr>
        <w:t xml:space="preserve"> </w:t>
      </w:r>
      <w:r w:rsidRPr="00617DF3">
        <w:rPr>
          <w:rFonts w:ascii="Times New Roman" w:hAnsi="Times New Roman" w:cs="Times New Roman"/>
          <w:sz w:val="24"/>
          <w:szCs w:val="24"/>
        </w:rPr>
        <w:t>para mitigar efectos de orden y el codificador de datos permaneció ciego a la condición (sabor/orden)</w:t>
      </w:r>
      <w:r w:rsidR="00CF612E" w:rsidRPr="00617DF3">
        <w:rPr>
          <w:rFonts w:ascii="Times New Roman" w:hAnsi="Times New Roman" w:cs="Times New Roman"/>
          <w:sz w:val="24"/>
          <w:szCs w:val="24"/>
        </w:rPr>
        <w:t>.</w:t>
      </w:r>
      <w:r w:rsidR="00A82493" w:rsidRPr="00617DF3">
        <w:rPr>
          <w:rFonts w:ascii="Times New Roman" w:hAnsi="Times New Roman" w:cs="Times New Roman"/>
          <w:sz w:val="24"/>
          <w:szCs w:val="24"/>
        </w:rPr>
        <w:t xml:space="preserve"> Al concluir, los resultados agregados fueron analizados y discutidos académicamente</w:t>
      </w:r>
      <w:r w:rsidR="00AF3370" w:rsidRPr="00617DF3">
        <w:rPr>
          <w:rFonts w:ascii="Times New Roman" w:hAnsi="Times New Roman" w:cs="Times New Roman"/>
          <w:sz w:val="24"/>
          <w:szCs w:val="24"/>
        </w:rPr>
        <w:t xml:space="preserve"> para formular estrategias de surtido del producto y comunicación comercial.</w:t>
      </w:r>
    </w:p>
    <w:p w14:paraId="7AC7D85E" w14:textId="77777777" w:rsidR="00437DC3" w:rsidRPr="00617DF3" w:rsidRDefault="00437DC3" w:rsidP="003C6959">
      <w:pPr>
        <w:spacing w:after="0" w:line="240" w:lineRule="auto"/>
        <w:jc w:val="both"/>
        <w:rPr>
          <w:rFonts w:ascii="Times New Roman" w:hAnsi="Times New Roman" w:cs="Times New Roman"/>
          <w:sz w:val="24"/>
          <w:szCs w:val="24"/>
        </w:rPr>
      </w:pPr>
    </w:p>
    <w:p w14:paraId="2F75A71A" w14:textId="424B4BF8" w:rsidR="004E358D" w:rsidRPr="00617DF3" w:rsidRDefault="00AF3370" w:rsidP="003C6959">
      <w:pPr>
        <w:spacing w:after="0" w:line="240" w:lineRule="auto"/>
        <w:jc w:val="both"/>
        <w:rPr>
          <w:rFonts w:ascii="Times New Roman" w:hAnsi="Times New Roman" w:cs="Times New Roman"/>
          <w:sz w:val="24"/>
          <w:szCs w:val="24"/>
        </w:rPr>
      </w:pPr>
      <w:r w:rsidRPr="00617DF3">
        <w:rPr>
          <w:rFonts w:ascii="Times New Roman" w:hAnsi="Times New Roman" w:cs="Times New Roman"/>
          <w:sz w:val="24"/>
          <w:szCs w:val="24"/>
        </w:rPr>
        <w:lastRenderedPageBreak/>
        <w:t>Finalmente, l</w:t>
      </w:r>
      <w:r w:rsidR="00A82493" w:rsidRPr="00617DF3">
        <w:rPr>
          <w:rFonts w:ascii="Times New Roman" w:hAnsi="Times New Roman" w:cs="Times New Roman"/>
          <w:sz w:val="24"/>
          <w:szCs w:val="24"/>
        </w:rPr>
        <w:t>os estudiantes completaron un cuestionario que evaluó el valor del aprendizaje, la experiencia educativa y los niveles cognitivos establecidos por la taxonomía de Bloom.</w:t>
      </w:r>
    </w:p>
    <w:p w14:paraId="2AF21107" w14:textId="77777777" w:rsidR="00A82493" w:rsidRPr="00617DF3" w:rsidRDefault="00A82493" w:rsidP="003C6959">
      <w:pPr>
        <w:spacing w:after="0" w:line="240" w:lineRule="auto"/>
        <w:jc w:val="both"/>
        <w:rPr>
          <w:rFonts w:ascii="Times New Roman" w:hAnsi="Times New Roman" w:cs="Times New Roman"/>
          <w:sz w:val="24"/>
          <w:szCs w:val="24"/>
        </w:rPr>
      </w:pPr>
    </w:p>
    <w:p w14:paraId="2809875B" w14:textId="3BD57D32" w:rsidR="008345C9" w:rsidRPr="00617DF3" w:rsidRDefault="00984B60" w:rsidP="003C6959">
      <w:pPr>
        <w:spacing w:after="0" w:line="240" w:lineRule="auto"/>
        <w:jc w:val="both"/>
        <w:rPr>
          <w:rFonts w:ascii="Times New Roman" w:hAnsi="Times New Roman" w:cs="Times New Roman"/>
          <w:sz w:val="24"/>
          <w:szCs w:val="24"/>
        </w:rPr>
      </w:pPr>
      <w:r w:rsidRPr="00617DF3">
        <w:rPr>
          <w:rFonts w:ascii="Times New Roman" w:hAnsi="Times New Roman" w:cs="Times New Roman"/>
          <w:sz w:val="24"/>
          <w:szCs w:val="24"/>
        </w:rPr>
        <w:t xml:space="preserve">La caracterización muestral se presenta con frecuencias y porcentajes para variables categóricas, y medias y desviaciones estándar para </w:t>
      </w:r>
      <w:r w:rsidR="00450640" w:rsidRPr="00617DF3">
        <w:rPr>
          <w:rFonts w:ascii="Times New Roman" w:hAnsi="Times New Roman" w:cs="Times New Roman"/>
          <w:sz w:val="24"/>
          <w:szCs w:val="24"/>
        </w:rPr>
        <w:t xml:space="preserve">variables </w:t>
      </w:r>
      <w:r w:rsidRPr="00617DF3">
        <w:rPr>
          <w:rFonts w:ascii="Times New Roman" w:hAnsi="Times New Roman" w:cs="Times New Roman"/>
          <w:sz w:val="24"/>
          <w:szCs w:val="24"/>
        </w:rPr>
        <w:t>continuas. El valor de aprendizaje percibido (Likert 1</w:t>
      </w:r>
      <w:r w:rsidR="0044664D" w:rsidRPr="00617DF3">
        <w:rPr>
          <w:rFonts w:ascii="Times New Roman" w:hAnsi="Times New Roman" w:cs="Times New Roman"/>
          <w:sz w:val="24"/>
          <w:szCs w:val="24"/>
        </w:rPr>
        <w:t>-</w:t>
      </w:r>
      <w:r w:rsidRPr="00617DF3">
        <w:rPr>
          <w:rFonts w:ascii="Times New Roman" w:hAnsi="Times New Roman" w:cs="Times New Roman"/>
          <w:sz w:val="24"/>
          <w:szCs w:val="24"/>
        </w:rPr>
        <w:t xml:space="preserve">7) se resumirá como media ± </w:t>
      </w:r>
      <w:r w:rsidRPr="0061135D">
        <w:rPr>
          <w:rFonts w:ascii="Times New Roman" w:hAnsi="Times New Roman" w:cs="Times New Roman"/>
          <w:i/>
          <w:sz w:val="24"/>
          <w:szCs w:val="24"/>
        </w:rPr>
        <w:t>DE</w:t>
      </w:r>
      <w:r w:rsidRPr="00617DF3">
        <w:rPr>
          <w:rFonts w:ascii="Times New Roman" w:hAnsi="Times New Roman" w:cs="Times New Roman"/>
          <w:sz w:val="24"/>
          <w:szCs w:val="24"/>
        </w:rPr>
        <w:t xml:space="preserve">. El diseño es </w:t>
      </w:r>
      <w:proofErr w:type="spellStart"/>
      <w:r w:rsidRPr="00617DF3">
        <w:rPr>
          <w:rFonts w:ascii="Times New Roman" w:hAnsi="Times New Roman" w:cs="Times New Roman"/>
          <w:sz w:val="24"/>
          <w:szCs w:val="24"/>
        </w:rPr>
        <w:t>intrasujetos</w:t>
      </w:r>
      <w:proofErr w:type="spellEnd"/>
      <w:r w:rsidRPr="00617DF3">
        <w:rPr>
          <w:rFonts w:ascii="Times New Roman" w:hAnsi="Times New Roman" w:cs="Times New Roman"/>
          <w:sz w:val="24"/>
          <w:szCs w:val="24"/>
        </w:rPr>
        <w:t xml:space="preserve"> con seis </w:t>
      </w:r>
      <w:r w:rsidR="00A40E74" w:rsidRPr="00617DF3">
        <w:rPr>
          <w:rFonts w:ascii="Times New Roman" w:hAnsi="Times New Roman" w:cs="Times New Roman"/>
          <w:sz w:val="24"/>
          <w:szCs w:val="24"/>
        </w:rPr>
        <w:t>mediciones</w:t>
      </w:r>
      <w:r w:rsidRPr="00617DF3">
        <w:rPr>
          <w:rFonts w:ascii="Times New Roman" w:hAnsi="Times New Roman" w:cs="Times New Roman"/>
          <w:sz w:val="24"/>
          <w:szCs w:val="24"/>
        </w:rPr>
        <w:t xml:space="preserve"> alineadas a la taxonomía de Bloom: Conocimiento, Comprensión, Aplicación, Análisis, Evaluación y Creación. </w:t>
      </w:r>
      <w:r w:rsidR="008345C9" w:rsidRPr="00617DF3">
        <w:rPr>
          <w:rFonts w:ascii="Times New Roman" w:hAnsi="Times New Roman" w:cs="Times New Roman"/>
          <w:sz w:val="24"/>
          <w:szCs w:val="24"/>
        </w:rPr>
        <w:t xml:space="preserve">Previo a la inferencia, se examinaron atípicos, residuos y esfericidad (prueba de Mauchly); cuando procedió, se aplicaron correcciones de </w:t>
      </w:r>
      <w:proofErr w:type="spellStart"/>
      <w:r w:rsidR="008345C9" w:rsidRPr="00617DF3">
        <w:rPr>
          <w:rFonts w:ascii="Times New Roman" w:hAnsi="Times New Roman" w:cs="Times New Roman"/>
          <w:sz w:val="24"/>
          <w:szCs w:val="24"/>
        </w:rPr>
        <w:t>Greenhouse</w:t>
      </w:r>
      <w:proofErr w:type="spellEnd"/>
      <w:r w:rsidR="008345C9" w:rsidRPr="00617DF3">
        <w:rPr>
          <w:rFonts w:ascii="Times New Roman" w:hAnsi="Times New Roman" w:cs="Times New Roman"/>
          <w:sz w:val="24"/>
          <w:szCs w:val="24"/>
        </w:rPr>
        <w:t>–</w:t>
      </w:r>
      <w:proofErr w:type="spellStart"/>
      <w:r w:rsidR="008345C9" w:rsidRPr="00617DF3">
        <w:rPr>
          <w:rFonts w:ascii="Times New Roman" w:hAnsi="Times New Roman" w:cs="Times New Roman"/>
          <w:sz w:val="24"/>
          <w:szCs w:val="24"/>
        </w:rPr>
        <w:t>Geisser</w:t>
      </w:r>
      <w:proofErr w:type="spellEnd"/>
      <w:r w:rsidR="008345C9" w:rsidRPr="00617DF3">
        <w:rPr>
          <w:rFonts w:ascii="Times New Roman" w:hAnsi="Times New Roman" w:cs="Times New Roman"/>
          <w:sz w:val="24"/>
          <w:szCs w:val="24"/>
        </w:rPr>
        <w:t>/</w:t>
      </w:r>
      <w:proofErr w:type="spellStart"/>
      <w:r w:rsidR="008345C9" w:rsidRPr="00617DF3">
        <w:rPr>
          <w:rFonts w:ascii="Times New Roman" w:hAnsi="Times New Roman" w:cs="Times New Roman"/>
          <w:sz w:val="24"/>
          <w:szCs w:val="24"/>
        </w:rPr>
        <w:t>Huynh</w:t>
      </w:r>
      <w:proofErr w:type="spellEnd"/>
      <w:r w:rsidR="008345C9" w:rsidRPr="00617DF3">
        <w:rPr>
          <w:rFonts w:ascii="Times New Roman" w:hAnsi="Times New Roman" w:cs="Times New Roman"/>
          <w:sz w:val="24"/>
          <w:szCs w:val="24"/>
        </w:rPr>
        <w:t>–</w:t>
      </w:r>
      <w:proofErr w:type="spellStart"/>
      <w:r w:rsidR="008345C9" w:rsidRPr="00617DF3">
        <w:rPr>
          <w:rFonts w:ascii="Times New Roman" w:hAnsi="Times New Roman" w:cs="Times New Roman"/>
          <w:sz w:val="24"/>
          <w:szCs w:val="24"/>
        </w:rPr>
        <w:t>Feldt</w:t>
      </w:r>
      <w:proofErr w:type="spellEnd"/>
      <w:r w:rsidR="008345C9" w:rsidRPr="00617DF3">
        <w:rPr>
          <w:rFonts w:ascii="Times New Roman" w:hAnsi="Times New Roman" w:cs="Times New Roman"/>
          <w:sz w:val="24"/>
          <w:szCs w:val="24"/>
        </w:rPr>
        <w:t>. El análisis principal fue un ANOVA de medidas repetidas</w:t>
      </w:r>
      <w:r w:rsidR="001342E2" w:rsidRPr="00617DF3">
        <w:rPr>
          <w:rFonts w:ascii="Times New Roman" w:hAnsi="Times New Roman" w:cs="Times New Roman"/>
          <w:sz w:val="24"/>
          <w:szCs w:val="24"/>
        </w:rPr>
        <w:t xml:space="preserve">; </w:t>
      </w:r>
      <w:r w:rsidR="00B06717" w:rsidRPr="00617DF3">
        <w:rPr>
          <w:rFonts w:ascii="Times New Roman" w:hAnsi="Times New Roman" w:cs="Times New Roman"/>
          <w:sz w:val="24"/>
          <w:szCs w:val="24"/>
        </w:rPr>
        <w:t xml:space="preserve">se reportan </w:t>
      </w:r>
      <w:r w:rsidR="00B06717" w:rsidRPr="0061135D">
        <w:rPr>
          <w:rFonts w:ascii="Times New Roman" w:hAnsi="Times New Roman" w:cs="Times New Roman"/>
          <w:i/>
          <w:sz w:val="24"/>
          <w:szCs w:val="24"/>
        </w:rPr>
        <w:t>F</w:t>
      </w:r>
      <w:r w:rsidR="00B06717" w:rsidRPr="00617DF3">
        <w:rPr>
          <w:rFonts w:ascii="Times New Roman" w:hAnsi="Times New Roman" w:cs="Times New Roman"/>
          <w:sz w:val="24"/>
          <w:szCs w:val="24"/>
        </w:rPr>
        <w:t xml:space="preserve">, </w:t>
      </w:r>
      <w:proofErr w:type="spellStart"/>
      <w:r w:rsidR="00B06717" w:rsidRPr="0061135D">
        <w:rPr>
          <w:rFonts w:ascii="Times New Roman" w:hAnsi="Times New Roman" w:cs="Times New Roman"/>
          <w:i/>
          <w:sz w:val="24"/>
          <w:szCs w:val="24"/>
        </w:rPr>
        <w:t>gl</w:t>
      </w:r>
      <w:proofErr w:type="spellEnd"/>
      <w:r w:rsidR="00B06717" w:rsidRPr="00617DF3">
        <w:rPr>
          <w:rFonts w:ascii="Times New Roman" w:hAnsi="Times New Roman" w:cs="Times New Roman"/>
          <w:sz w:val="24"/>
          <w:szCs w:val="24"/>
        </w:rPr>
        <w:t xml:space="preserve"> corregidos, </w:t>
      </w:r>
      <w:r w:rsidR="00B06717" w:rsidRPr="0061135D">
        <w:rPr>
          <w:rFonts w:ascii="Times New Roman" w:hAnsi="Times New Roman" w:cs="Times New Roman"/>
          <w:i/>
          <w:sz w:val="24"/>
          <w:szCs w:val="24"/>
        </w:rPr>
        <w:t>p</w:t>
      </w:r>
      <w:r w:rsidR="00B06717" w:rsidRPr="00617DF3">
        <w:rPr>
          <w:rFonts w:ascii="Times New Roman" w:hAnsi="Times New Roman" w:cs="Times New Roman"/>
          <w:sz w:val="24"/>
          <w:szCs w:val="24"/>
        </w:rPr>
        <w:t xml:space="preserve">, </w:t>
      </w:r>
      <w:r w:rsidR="00B06717" w:rsidRPr="0061135D">
        <w:rPr>
          <w:rFonts w:ascii="Times New Roman" w:hAnsi="Times New Roman" w:cs="Times New Roman"/>
          <w:i/>
          <w:sz w:val="24"/>
          <w:szCs w:val="24"/>
        </w:rPr>
        <w:t>η²</w:t>
      </w:r>
      <w:r w:rsidR="00B06717" w:rsidRPr="00617DF3">
        <w:rPr>
          <w:rFonts w:ascii="Times New Roman" w:hAnsi="Times New Roman" w:cs="Times New Roman"/>
          <w:i/>
          <w:iCs/>
          <w:sz w:val="24"/>
          <w:szCs w:val="24"/>
        </w:rPr>
        <w:t>p</w:t>
      </w:r>
      <w:r w:rsidR="00B06717" w:rsidRPr="00617DF3">
        <w:rPr>
          <w:rFonts w:ascii="Times New Roman" w:hAnsi="Times New Roman" w:cs="Times New Roman"/>
          <w:sz w:val="24"/>
          <w:szCs w:val="24"/>
        </w:rPr>
        <w:t xml:space="preserve">, </w:t>
      </w:r>
      <w:r w:rsidR="00B06717" w:rsidRPr="00617DF3">
        <w:rPr>
          <w:rFonts w:ascii="Times New Roman" w:hAnsi="Times New Roman" w:cs="Times New Roman"/>
          <w:i/>
          <w:iCs/>
          <w:sz w:val="24"/>
          <w:szCs w:val="24"/>
        </w:rPr>
        <w:t xml:space="preserve">IC del 95 </w:t>
      </w:r>
      <w:r w:rsidR="00B06717" w:rsidRPr="0061135D">
        <w:rPr>
          <w:rFonts w:ascii="Times New Roman" w:hAnsi="Times New Roman" w:cs="Times New Roman"/>
          <w:i/>
          <w:sz w:val="24"/>
          <w:szCs w:val="24"/>
        </w:rPr>
        <w:t>%</w:t>
      </w:r>
      <w:r w:rsidR="00B06717" w:rsidRPr="00617DF3">
        <w:rPr>
          <w:rFonts w:ascii="Times New Roman" w:hAnsi="Times New Roman" w:cs="Times New Roman"/>
          <w:sz w:val="24"/>
          <w:szCs w:val="24"/>
        </w:rPr>
        <w:t>, y comparaciones Bonferroni.</w:t>
      </w:r>
    </w:p>
    <w:p w14:paraId="408610F5" w14:textId="77777777" w:rsidR="00984B60" w:rsidRPr="00617DF3" w:rsidRDefault="00984B60" w:rsidP="003C6959">
      <w:pPr>
        <w:spacing w:after="0" w:line="240" w:lineRule="auto"/>
        <w:jc w:val="both"/>
        <w:rPr>
          <w:rFonts w:ascii="Times New Roman" w:hAnsi="Times New Roman" w:cs="Times New Roman"/>
          <w:sz w:val="24"/>
          <w:szCs w:val="24"/>
        </w:rPr>
      </w:pPr>
    </w:p>
    <w:p w14:paraId="2F6D5818" w14:textId="5823DDD2" w:rsidR="00A71611" w:rsidRPr="00617DF3" w:rsidRDefault="00A71611" w:rsidP="003C6959">
      <w:pPr>
        <w:spacing w:after="0" w:line="240" w:lineRule="auto"/>
        <w:jc w:val="center"/>
        <w:rPr>
          <w:rFonts w:ascii="Times New Roman" w:hAnsi="Times New Roman" w:cs="Times New Roman"/>
          <w:b/>
          <w:bCs/>
          <w:sz w:val="24"/>
          <w:szCs w:val="24"/>
        </w:rPr>
      </w:pPr>
      <w:r w:rsidRPr="00617DF3">
        <w:rPr>
          <w:rFonts w:ascii="Times New Roman" w:hAnsi="Times New Roman" w:cs="Times New Roman"/>
          <w:b/>
          <w:bCs/>
          <w:sz w:val="24"/>
          <w:szCs w:val="24"/>
        </w:rPr>
        <w:t>Result</w:t>
      </w:r>
      <w:r w:rsidR="00450640" w:rsidRPr="00617DF3">
        <w:rPr>
          <w:rFonts w:ascii="Times New Roman" w:hAnsi="Times New Roman" w:cs="Times New Roman"/>
          <w:b/>
          <w:bCs/>
          <w:sz w:val="24"/>
          <w:szCs w:val="24"/>
        </w:rPr>
        <w:t>ados</w:t>
      </w:r>
    </w:p>
    <w:p w14:paraId="2249B466" w14:textId="77777777" w:rsidR="00450640" w:rsidRPr="00617DF3" w:rsidRDefault="00450640" w:rsidP="003C6959">
      <w:pPr>
        <w:spacing w:after="0" w:line="240" w:lineRule="auto"/>
        <w:jc w:val="center"/>
        <w:rPr>
          <w:rFonts w:ascii="Times New Roman" w:hAnsi="Times New Roman" w:cs="Times New Roman"/>
          <w:b/>
          <w:bCs/>
          <w:sz w:val="24"/>
          <w:szCs w:val="24"/>
        </w:rPr>
      </w:pPr>
    </w:p>
    <w:p w14:paraId="5CD9A49F" w14:textId="5B82DD44" w:rsidR="00AC4126" w:rsidRPr="00617DF3" w:rsidRDefault="00AC4126" w:rsidP="003C6959">
      <w:pPr>
        <w:spacing w:after="0" w:line="240" w:lineRule="auto"/>
        <w:ind w:firstLine="708"/>
        <w:jc w:val="both"/>
        <w:rPr>
          <w:rFonts w:ascii="Times New Roman" w:hAnsi="Times New Roman" w:cs="Times New Roman"/>
          <w:sz w:val="24"/>
          <w:szCs w:val="24"/>
        </w:rPr>
      </w:pPr>
      <w:r w:rsidRPr="00617DF3">
        <w:rPr>
          <w:rFonts w:ascii="Times New Roman" w:hAnsi="Times New Roman" w:cs="Times New Roman"/>
          <w:sz w:val="24"/>
          <w:szCs w:val="24"/>
        </w:rPr>
        <w:t>Primero describimos la muestra; después, los resultados del valor percibido</w:t>
      </w:r>
      <w:r w:rsidR="00803AD6" w:rsidRPr="00617DF3">
        <w:rPr>
          <w:rFonts w:ascii="Times New Roman" w:hAnsi="Times New Roman" w:cs="Times New Roman"/>
          <w:sz w:val="24"/>
          <w:szCs w:val="24"/>
        </w:rPr>
        <w:t xml:space="preserve"> y del aprendizaje experiencial</w:t>
      </w:r>
      <w:r w:rsidRPr="00617DF3">
        <w:rPr>
          <w:rFonts w:ascii="Times New Roman" w:hAnsi="Times New Roman" w:cs="Times New Roman"/>
          <w:sz w:val="24"/>
          <w:szCs w:val="24"/>
        </w:rPr>
        <w:t>; finalmente, el ANOVA por niveles de Bloom.</w:t>
      </w:r>
    </w:p>
    <w:p w14:paraId="6C2E8D91" w14:textId="77777777" w:rsidR="00AC4126" w:rsidRPr="00617DF3" w:rsidRDefault="00AC4126" w:rsidP="003C6959">
      <w:pPr>
        <w:spacing w:after="0" w:line="240" w:lineRule="auto"/>
        <w:jc w:val="both"/>
        <w:rPr>
          <w:rFonts w:ascii="Times New Roman" w:hAnsi="Times New Roman" w:cs="Times New Roman"/>
          <w:sz w:val="24"/>
          <w:szCs w:val="24"/>
        </w:rPr>
      </w:pPr>
    </w:p>
    <w:p w14:paraId="02ED4868" w14:textId="209453BE" w:rsidR="00986CFF" w:rsidRPr="00617DF3" w:rsidRDefault="00986CFF" w:rsidP="0061135D">
      <w:pPr>
        <w:spacing w:after="0" w:line="240" w:lineRule="auto"/>
        <w:jc w:val="both"/>
        <w:rPr>
          <w:rFonts w:ascii="Times New Roman" w:hAnsi="Times New Roman" w:cs="Times New Roman"/>
          <w:sz w:val="24"/>
          <w:szCs w:val="24"/>
        </w:rPr>
      </w:pPr>
      <w:r w:rsidRPr="00617DF3">
        <w:rPr>
          <w:rFonts w:ascii="Times New Roman" w:hAnsi="Times New Roman" w:cs="Times New Roman"/>
          <w:sz w:val="24"/>
          <w:szCs w:val="24"/>
        </w:rPr>
        <w:t xml:space="preserve">La edad promedio </w:t>
      </w:r>
      <w:r w:rsidR="00451FD3" w:rsidRPr="00617DF3">
        <w:rPr>
          <w:rFonts w:ascii="Times New Roman" w:hAnsi="Times New Roman" w:cs="Times New Roman"/>
          <w:sz w:val="24"/>
          <w:szCs w:val="24"/>
        </w:rPr>
        <w:t xml:space="preserve">de los participantes es </w:t>
      </w:r>
      <w:r w:rsidRPr="00617DF3">
        <w:rPr>
          <w:rFonts w:ascii="Times New Roman" w:hAnsi="Times New Roman" w:cs="Times New Roman"/>
          <w:sz w:val="24"/>
          <w:szCs w:val="24"/>
        </w:rPr>
        <w:t>de 19 años</w:t>
      </w:r>
      <w:r w:rsidR="0015463D" w:rsidRPr="00617DF3">
        <w:rPr>
          <w:rFonts w:ascii="Times New Roman" w:hAnsi="Times New Roman" w:cs="Times New Roman"/>
          <w:sz w:val="24"/>
          <w:szCs w:val="24"/>
        </w:rPr>
        <w:t xml:space="preserve"> (</w:t>
      </w:r>
      <w:r w:rsidR="0015463D" w:rsidRPr="00617DF3">
        <w:rPr>
          <w:rFonts w:ascii="Times New Roman" w:hAnsi="Times New Roman" w:cs="Times New Roman"/>
          <w:i/>
          <w:iCs/>
          <w:sz w:val="24"/>
          <w:szCs w:val="24"/>
        </w:rPr>
        <w:t>DE</w:t>
      </w:r>
      <w:r w:rsidR="0015463D" w:rsidRPr="00617DF3">
        <w:rPr>
          <w:rFonts w:ascii="Times New Roman" w:hAnsi="Times New Roman" w:cs="Times New Roman"/>
          <w:sz w:val="24"/>
          <w:szCs w:val="24"/>
        </w:rPr>
        <w:t>=0.895</w:t>
      </w:r>
      <w:r w:rsidR="00CB11DA" w:rsidRPr="00617DF3">
        <w:rPr>
          <w:rFonts w:ascii="Times New Roman" w:hAnsi="Times New Roman" w:cs="Times New Roman"/>
          <w:sz w:val="24"/>
          <w:szCs w:val="24"/>
        </w:rPr>
        <w:t xml:space="preserve">; </w:t>
      </w:r>
      <w:r w:rsidR="00CB11DA" w:rsidRPr="00617DF3">
        <w:rPr>
          <w:rFonts w:ascii="Times New Roman" w:hAnsi="Times New Roman" w:cs="Times New Roman"/>
          <w:i/>
          <w:iCs/>
          <w:sz w:val="24"/>
          <w:szCs w:val="24"/>
        </w:rPr>
        <w:t>IC</w:t>
      </w:r>
      <w:r w:rsidR="00D77099" w:rsidRPr="00617DF3">
        <w:rPr>
          <w:rFonts w:ascii="Times New Roman" w:hAnsi="Times New Roman" w:cs="Times New Roman"/>
          <w:i/>
          <w:iCs/>
          <w:sz w:val="24"/>
          <w:szCs w:val="24"/>
        </w:rPr>
        <w:t xml:space="preserve"> del </w:t>
      </w:r>
      <w:r w:rsidR="00CB11DA" w:rsidRPr="00617DF3">
        <w:rPr>
          <w:rFonts w:ascii="Times New Roman" w:hAnsi="Times New Roman" w:cs="Times New Roman"/>
          <w:i/>
          <w:iCs/>
          <w:sz w:val="24"/>
          <w:szCs w:val="24"/>
        </w:rPr>
        <w:t>95</w:t>
      </w:r>
      <w:r w:rsidR="00D77099" w:rsidRPr="00617DF3">
        <w:rPr>
          <w:rFonts w:ascii="Times New Roman" w:hAnsi="Times New Roman" w:cs="Times New Roman"/>
          <w:i/>
          <w:iCs/>
          <w:sz w:val="24"/>
          <w:szCs w:val="24"/>
        </w:rPr>
        <w:t xml:space="preserve"> </w:t>
      </w:r>
      <w:r w:rsidR="00CB11DA" w:rsidRPr="00617DF3">
        <w:rPr>
          <w:rFonts w:ascii="Times New Roman" w:hAnsi="Times New Roman" w:cs="Times New Roman"/>
          <w:i/>
          <w:iCs/>
          <w:sz w:val="24"/>
          <w:szCs w:val="24"/>
        </w:rPr>
        <w:t>%</w:t>
      </w:r>
      <w:r w:rsidR="00CB11DA" w:rsidRPr="00617DF3">
        <w:rPr>
          <w:rFonts w:ascii="Times New Roman" w:hAnsi="Times New Roman" w:cs="Times New Roman"/>
          <w:sz w:val="24"/>
          <w:szCs w:val="24"/>
        </w:rPr>
        <w:t xml:space="preserve"> [18.76, 19.10]</w:t>
      </w:r>
      <w:r w:rsidR="0015463D" w:rsidRPr="00617DF3">
        <w:rPr>
          <w:rFonts w:ascii="Times New Roman" w:hAnsi="Times New Roman" w:cs="Times New Roman"/>
          <w:sz w:val="24"/>
          <w:szCs w:val="24"/>
        </w:rPr>
        <w:t>)</w:t>
      </w:r>
      <w:r w:rsidRPr="00617DF3">
        <w:rPr>
          <w:rFonts w:ascii="Times New Roman" w:hAnsi="Times New Roman" w:cs="Times New Roman"/>
          <w:sz w:val="24"/>
          <w:szCs w:val="24"/>
        </w:rPr>
        <w:t>. Del total, 71.7</w:t>
      </w:r>
      <w:r w:rsidR="00230B39" w:rsidRPr="00617DF3">
        <w:rPr>
          <w:rFonts w:ascii="Times New Roman" w:hAnsi="Times New Roman" w:cs="Times New Roman"/>
          <w:sz w:val="24"/>
          <w:szCs w:val="24"/>
        </w:rPr>
        <w:t>0</w:t>
      </w:r>
      <w:r w:rsidR="00D77099" w:rsidRPr="00617DF3">
        <w:rPr>
          <w:rFonts w:ascii="Times New Roman" w:hAnsi="Times New Roman" w:cs="Times New Roman"/>
          <w:sz w:val="24"/>
          <w:szCs w:val="24"/>
        </w:rPr>
        <w:t xml:space="preserve"> </w:t>
      </w:r>
      <w:r w:rsidRPr="00617DF3">
        <w:rPr>
          <w:rFonts w:ascii="Times New Roman" w:hAnsi="Times New Roman" w:cs="Times New Roman"/>
          <w:sz w:val="24"/>
          <w:szCs w:val="24"/>
        </w:rPr>
        <w:t>% estudiaba y 28.3</w:t>
      </w:r>
      <w:r w:rsidR="00230B39" w:rsidRPr="00617DF3">
        <w:rPr>
          <w:rFonts w:ascii="Times New Roman" w:hAnsi="Times New Roman" w:cs="Times New Roman"/>
          <w:sz w:val="24"/>
          <w:szCs w:val="24"/>
        </w:rPr>
        <w:t>0</w:t>
      </w:r>
      <w:r w:rsidR="00D77099" w:rsidRPr="00617DF3">
        <w:rPr>
          <w:rFonts w:ascii="Times New Roman" w:hAnsi="Times New Roman" w:cs="Times New Roman"/>
          <w:sz w:val="24"/>
          <w:szCs w:val="24"/>
        </w:rPr>
        <w:t xml:space="preserve"> </w:t>
      </w:r>
      <w:r w:rsidRPr="00617DF3">
        <w:rPr>
          <w:rFonts w:ascii="Times New Roman" w:hAnsi="Times New Roman" w:cs="Times New Roman"/>
          <w:sz w:val="24"/>
          <w:szCs w:val="24"/>
        </w:rPr>
        <w:t xml:space="preserve">% combinaba estudio y trabajo. Más del 90% </w:t>
      </w:r>
      <w:r w:rsidR="00002E48" w:rsidRPr="00617DF3">
        <w:rPr>
          <w:rFonts w:ascii="Times New Roman" w:hAnsi="Times New Roman" w:cs="Times New Roman"/>
          <w:sz w:val="24"/>
          <w:szCs w:val="24"/>
        </w:rPr>
        <w:t>(</w:t>
      </w:r>
      <w:r w:rsidR="00002E48" w:rsidRPr="00617DF3">
        <w:rPr>
          <w:rFonts w:ascii="Times New Roman" w:hAnsi="Times New Roman" w:cs="Times New Roman"/>
          <w:i/>
          <w:iCs/>
          <w:sz w:val="24"/>
          <w:szCs w:val="24"/>
        </w:rPr>
        <w:t>n</w:t>
      </w:r>
      <w:r w:rsidR="00002E48" w:rsidRPr="00617DF3">
        <w:rPr>
          <w:rFonts w:ascii="Times New Roman" w:hAnsi="Times New Roman" w:cs="Times New Roman"/>
          <w:sz w:val="24"/>
          <w:szCs w:val="24"/>
        </w:rPr>
        <w:t xml:space="preserve">=95) </w:t>
      </w:r>
      <w:r w:rsidR="003663C5" w:rsidRPr="00617DF3">
        <w:rPr>
          <w:rFonts w:ascii="Times New Roman" w:hAnsi="Times New Roman" w:cs="Times New Roman"/>
          <w:sz w:val="24"/>
          <w:szCs w:val="24"/>
        </w:rPr>
        <w:t>c</w:t>
      </w:r>
      <w:r w:rsidRPr="00617DF3">
        <w:rPr>
          <w:rFonts w:ascii="Times New Roman" w:hAnsi="Times New Roman" w:cs="Times New Roman"/>
          <w:sz w:val="24"/>
          <w:szCs w:val="24"/>
        </w:rPr>
        <w:t xml:space="preserve">ursaba el tercer semestre universitario. La distribución </w:t>
      </w:r>
      <w:r w:rsidR="006E5CAE" w:rsidRPr="00617DF3">
        <w:rPr>
          <w:rFonts w:ascii="Times New Roman" w:hAnsi="Times New Roman" w:cs="Times New Roman"/>
          <w:sz w:val="24"/>
          <w:szCs w:val="24"/>
        </w:rPr>
        <w:t>es</w:t>
      </w:r>
      <w:r w:rsidRPr="00617DF3">
        <w:rPr>
          <w:rFonts w:ascii="Times New Roman" w:hAnsi="Times New Roman" w:cs="Times New Roman"/>
          <w:sz w:val="24"/>
          <w:szCs w:val="24"/>
        </w:rPr>
        <w:t xml:space="preserve"> 49% hombres y 51% mujeres.</w:t>
      </w:r>
    </w:p>
    <w:p w14:paraId="63FF5E4C" w14:textId="77777777" w:rsidR="00986CFF" w:rsidRPr="00617DF3" w:rsidRDefault="00986CFF" w:rsidP="003C6959">
      <w:pPr>
        <w:spacing w:after="0" w:line="240" w:lineRule="auto"/>
        <w:jc w:val="both"/>
        <w:rPr>
          <w:rFonts w:ascii="Times New Roman" w:hAnsi="Times New Roman" w:cs="Times New Roman"/>
          <w:sz w:val="24"/>
          <w:szCs w:val="24"/>
        </w:rPr>
      </w:pPr>
    </w:p>
    <w:p w14:paraId="56D1835E" w14:textId="4B4A8AE9" w:rsidR="00986CFF" w:rsidRPr="00617DF3" w:rsidRDefault="00986CFF" w:rsidP="003C6959">
      <w:pPr>
        <w:spacing w:after="0" w:line="240" w:lineRule="auto"/>
        <w:jc w:val="both"/>
        <w:rPr>
          <w:rFonts w:ascii="Times New Roman" w:hAnsi="Times New Roman" w:cs="Times New Roman"/>
          <w:sz w:val="24"/>
          <w:szCs w:val="24"/>
        </w:rPr>
      </w:pPr>
      <w:r w:rsidRPr="00617DF3">
        <w:rPr>
          <w:rFonts w:ascii="Times New Roman" w:hAnsi="Times New Roman" w:cs="Times New Roman"/>
          <w:sz w:val="24"/>
          <w:szCs w:val="24"/>
        </w:rPr>
        <w:t xml:space="preserve">En una escala Likert de siete puntos (1 = totalmente en desacuerdo; 7 = totalmente de acuerdo), la integración del neuromarketing fue evaluada muy positivamente. </w:t>
      </w:r>
      <w:r w:rsidR="00E83DD9" w:rsidRPr="00617DF3">
        <w:rPr>
          <w:rFonts w:ascii="Times New Roman" w:hAnsi="Times New Roman" w:cs="Times New Roman"/>
          <w:sz w:val="24"/>
          <w:szCs w:val="24"/>
        </w:rPr>
        <w:t>Los resultados muestran medias mayores a 6 en los tres indicadores que conforman el valor percibido del aprendizaje: “me gustó” (</w:t>
      </w:r>
      <w:r w:rsidR="00E83DD9" w:rsidRPr="0061135D">
        <w:rPr>
          <w:rFonts w:ascii="Times New Roman" w:hAnsi="Times New Roman" w:cs="Times New Roman"/>
          <w:i/>
          <w:sz w:val="24"/>
          <w:szCs w:val="24"/>
        </w:rPr>
        <w:t>M</w:t>
      </w:r>
      <w:r w:rsidR="00E83DD9" w:rsidRPr="00617DF3">
        <w:rPr>
          <w:rFonts w:ascii="Times New Roman" w:hAnsi="Times New Roman" w:cs="Times New Roman"/>
          <w:sz w:val="24"/>
          <w:szCs w:val="24"/>
        </w:rPr>
        <w:t xml:space="preserve"> = 6.38), “es útil” (</w:t>
      </w:r>
      <w:r w:rsidR="00E83DD9" w:rsidRPr="0061135D">
        <w:rPr>
          <w:rFonts w:ascii="Times New Roman" w:hAnsi="Times New Roman" w:cs="Times New Roman"/>
          <w:i/>
          <w:sz w:val="24"/>
          <w:szCs w:val="24"/>
        </w:rPr>
        <w:t>M</w:t>
      </w:r>
      <w:r w:rsidR="00E83DD9" w:rsidRPr="00617DF3">
        <w:rPr>
          <w:rFonts w:ascii="Times New Roman" w:hAnsi="Times New Roman" w:cs="Times New Roman"/>
          <w:sz w:val="24"/>
          <w:szCs w:val="24"/>
        </w:rPr>
        <w:t xml:space="preserve"> = 6.33) y “superó mis expectativas” (</w:t>
      </w:r>
      <w:r w:rsidR="00E83DD9" w:rsidRPr="00617DF3">
        <w:rPr>
          <w:rFonts w:ascii="Times New Roman" w:hAnsi="Times New Roman" w:cs="Times New Roman"/>
          <w:i/>
          <w:iCs/>
          <w:sz w:val="24"/>
          <w:szCs w:val="24"/>
        </w:rPr>
        <w:t>M</w:t>
      </w:r>
      <w:r w:rsidR="00E83DD9" w:rsidRPr="00617DF3">
        <w:rPr>
          <w:rFonts w:ascii="Times New Roman" w:hAnsi="Times New Roman" w:cs="Times New Roman"/>
          <w:sz w:val="24"/>
          <w:szCs w:val="24"/>
        </w:rPr>
        <w:t xml:space="preserve"> = 6.24), con alfa de Cronbach de 0.858. La variable de aprendizaje experiencial se definió con los ítems “es más real la medición</w:t>
      </w:r>
      <w:r w:rsidR="000E7AA7" w:rsidRPr="00617DF3">
        <w:rPr>
          <w:rFonts w:ascii="Times New Roman" w:hAnsi="Times New Roman" w:cs="Times New Roman"/>
          <w:sz w:val="24"/>
          <w:szCs w:val="24"/>
        </w:rPr>
        <w:t xml:space="preserve"> de la experiencia del cliente</w:t>
      </w:r>
      <w:r w:rsidR="003B1BE2" w:rsidRPr="00617DF3">
        <w:rPr>
          <w:rFonts w:ascii="Times New Roman" w:hAnsi="Times New Roman" w:cs="Times New Roman"/>
          <w:sz w:val="24"/>
          <w:szCs w:val="24"/>
        </w:rPr>
        <w:t xml:space="preserve"> con</w:t>
      </w:r>
      <w:r w:rsidR="00E83DD9" w:rsidRPr="00617DF3">
        <w:rPr>
          <w:rFonts w:ascii="Times New Roman" w:hAnsi="Times New Roman" w:cs="Times New Roman"/>
          <w:sz w:val="24"/>
          <w:szCs w:val="24"/>
        </w:rPr>
        <w:t xml:space="preserve"> neuromarketing” (</w:t>
      </w:r>
      <w:r w:rsidR="00E83DD9" w:rsidRPr="0061135D">
        <w:rPr>
          <w:rFonts w:ascii="Times New Roman" w:hAnsi="Times New Roman" w:cs="Times New Roman"/>
          <w:i/>
          <w:sz w:val="24"/>
          <w:szCs w:val="24"/>
        </w:rPr>
        <w:t>M</w:t>
      </w:r>
      <w:r w:rsidR="00E83DD9" w:rsidRPr="00617DF3">
        <w:rPr>
          <w:rFonts w:ascii="Times New Roman" w:hAnsi="Times New Roman" w:cs="Times New Roman"/>
          <w:sz w:val="24"/>
          <w:szCs w:val="24"/>
        </w:rPr>
        <w:t xml:space="preserve"> = 6.24) y “</w:t>
      </w:r>
      <w:r w:rsidR="00874C2D" w:rsidRPr="00617DF3">
        <w:rPr>
          <w:rFonts w:ascii="Times New Roman" w:hAnsi="Times New Roman" w:cs="Times New Roman"/>
          <w:sz w:val="24"/>
          <w:szCs w:val="24"/>
        </w:rPr>
        <w:t xml:space="preserve">el curso </w:t>
      </w:r>
      <w:r w:rsidR="00E83DD9" w:rsidRPr="00617DF3">
        <w:rPr>
          <w:rFonts w:ascii="Times New Roman" w:hAnsi="Times New Roman" w:cs="Times New Roman"/>
          <w:sz w:val="24"/>
          <w:szCs w:val="24"/>
        </w:rPr>
        <w:t xml:space="preserve">es más efectivo </w:t>
      </w:r>
      <w:r w:rsidR="00874C2D" w:rsidRPr="00617DF3">
        <w:rPr>
          <w:rFonts w:ascii="Times New Roman" w:hAnsi="Times New Roman" w:cs="Times New Roman"/>
          <w:sz w:val="24"/>
          <w:szCs w:val="24"/>
        </w:rPr>
        <w:t xml:space="preserve">utilizando </w:t>
      </w:r>
      <w:r w:rsidR="00E83DD9" w:rsidRPr="00617DF3">
        <w:rPr>
          <w:rFonts w:ascii="Times New Roman" w:hAnsi="Times New Roman" w:cs="Times New Roman"/>
          <w:sz w:val="24"/>
          <w:szCs w:val="24"/>
        </w:rPr>
        <w:t>el neuromarketing” (</w:t>
      </w:r>
      <w:r w:rsidR="00E83DD9" w:rsidRPr="0061135D">
        <w:rPr>
          <w:rFonts w:ascii="Times New Roman" w:hAnsi="Times New Roman" w:cs="Times New Roman"/>
          <w:i/>
          <w:sz w:val="24"/>
          <w:szCs w:val="24"/>
        </w:rPr>
        <w:t>M</w:t>
      </w:r>
      <w:r w:rsidR="00E83DD9" w:rsidRPr="00617DF3">
        <w:rPr>
          <w:rFonts w:ascii="Times New Roman" w:hAnsi="Times New Roman" w:cs="Times New Roman"/>
          <w:sz w:val="24"/>
          <w:szCs w:val="24"/>
        </w:rPr>
        <w:t xml:space="preserve"> = 6.23), con alfa de Cronbach de 0.872.</w:t>
      </w:r>
    </w:p>
    <w:p w14:paraId="3EA9A45C" w14:textId="77777777" w:rsidR="00986CFF" w:rsidRPr="00617DF3" w:rsidRDefault="00986CFF" w:rsidP="003C6959">
      <w:pPr>
        <w:spacing w:after="0" w:line="240" w:lineRule="auto"/>
        <w:jc w:val="both"/>
        <w:rPr>
          <w:rFonts w:ascii="Times New Roman" w:hAnsi="Times New Roman" w:cs="Times New Roman"/>
          <w:sz w:val="24"/>
          <w:szCs w:val="24"/>
        </w:rPr>
      </w:pPr>
    </w:p>
    <w:p w14:paraId="0E1E36D2" w14:textId="5DE20119" w:rsidR="003A33B3" w:rsidRPr="00617DF3" w:rsidRDefault="00060FC2" w:rsidP="003C6959">
      <w:pPr>
        <w:spacing w:after="0" w:line="240" w:lineRule="auto"/>
        <w:jc w:val="both"/>
        <w:rPr>
          <w:rFonts w:ascii="Times New Roman" w:hAnsi="Times New Roman" w:cs="Times New Roman"/>
          <w:sz w:val="24"/>
          <w:szCs w:val="24"/>
        </w:rPr>
      </w:pPr>
      <w:r w:rsidRPr="00617DF3">
        <w:rPr>
          <w:rFonts w:ascii="Times New Roman" w:hAnsi="Times New Roman" w:cs="Times New Roman"/>
          <w:sz w:val="24"/>
          <w:szCs w:val="24"/>
        </w:rPr>
        <w:t>Los</w:t>
      </w:r>
      <w:r w:rsidR="00A35828" w:rsidRPr="00617DF3">
        <w:rPr>
          <w:rFonts w:ascii="Times New Roman" w:hAnsi="Times New Roman" w:cs="Times New Roman"/>
          <w:sz w:val="24"/>
          <w:szCs w:val="24"/>
        </w:rPr>
        <w:t xml:space="preserve"> niveles de la jerarquía de Bloom analizados son </w:t>
      </w:r>
      <w:r w:rsidR="00BC5B1E" w:rsidRPr="00617DF3">
        <w:rPr>
          <w:rFonts w:ascii="Times New Roman" w:hAnsi="Times New Roman" w:cs="Times New Roman"/>
          <w:sz w:val="24"/>
          <w:szCs w:val="24"/>
        </w:rPr>
        <w:t>Recordación, Comprensión, Aplicación, Análisis, Evaluación y Creación</w:t>
      </w:r>
      <w:r w:rsidR="004A2E50" w:rsidRPr="00617DF3">
        <w:rPr>
          <w:rFonts w:ascii="Times New Roman" w:hAnsi="Times New Roman" w:cs="Times New Roman"/>
          <w:sz w:val="24"/>
          <w:szCs w:val="24"/>
        </w:rPr>
        <w:t>,</w:t>
      </w:r>
      <w:r w:rsidR="002F32B5" w:rsidRPr="00617DF3">
        <w:rPr>
          <w:rFonts w:ascii="Times New Roman" w:hAnsi="Times New Roman" w:cs="Times New Roman"/>
          <w:sz w:val="24"/>
          <w:szCs w:val="24"/>
        </w:rPr>
        <w:t xml:space="preserve"> todos con alfa de Cronbach superiores a </w:t>
      </w:r>
      <w:r w:rsidR="004B3EFB" w:rsidRPr="00617DF3">
        <w:rPr>
          <w:rFonts w:ascii="Times New Roman" w:hAnsi="Times New Roman" w:cs="Times New Roman"/>
          <w:sz w:val="24"/>
          <w:szCs w:val="24"/>
        </w:rPr>
        <w:t xml:space="preserve">0.72. </w:t>
      </w:r>
      <w:r w:rsidR="00986CFF" w:rsidRPr="00617DF3">
        <w:rPr>
          <w:rFonts w:ascii="Times New Roman" w:hAnsi="Times New Roman" w:cs="Times New Roman"/>
          <w:sz w:val="24"/>
          <w:szCs w:val="24"/>
        </w:rPr>
        <w:t>Con la misma escala</w:t>
      </w:r>
      <w:r w:rsidR="004A2E50" w:rsidRPr="00617DF3">
        <w:rPr>
          <w:rFonts w:ascii="Times New Roman" w:hAnsi="Times New Roman" w:cs="Times New Roman"/>
          <w:sz w:val="24"/>
          <w:szCs w:val="24"/>
        </w:rPr>
        <w:t xml:space="preserve"> anterior</w:t>
      </w:r>
      <w:r w:rsidR="00986CFF" w:rsidRPr="00617DF3">
        <w:rPr>
          <w:rFonts w:ascii="Times New Roman" w:hAnsi="Times New Roman" w:cs="Times New Roman"/>
          <w:sz w:val="24"/>
          <w:szCs w:val="24"/>
        </w:rPr>
        <w:t>, se observaron diferencias a lo largo de la taxonomía</w:t>
      </w:r>
      <w:r w:rsidR="00114954" w:rsidRPr="00617DF3">
        <w:rPr>
          <w:rFonts w:ascii="Times New Roman" w:hAnsi="Times New Roman" w:cs="Times New Roman"/>
          <w:sz w:val="24"/>
          <w:szCs w:val="24"/>
        </w:rPr>
        <w:t xml:space="preserve"> mostrando</w:t>
      </w:r>
      <w:r w:rsidR="00986CFF" w:rsidRPr="00617DF3">
        <w:rPr>
          <w:rFonts w:ascii="Times New Roman" w:hAnsi="Times New Roman" w:cs="Times New Roman"/>
          <w:sz w:val="24"/>
          <w:szCs w:val="24"/>
        </w:rPr>
        <w:t xml:space="preserve"> medias superiores a 5 (véase Tabla 1).</w:t>
      </w:r>
    </w:p>
    <w:p w14:paraId="624408AC" w14:textId="77777777" w:rsidR="00D139CE" w:rsidRPr="00617DF3" w:rsidRDefault="00D139CE" w:rsidP="003C6959">
      <w:pPr>
        <w:spacing w:after="0" w:line="240" w:lineRule="auto"/>
        <w:jc w:val="both"/>
        <w:rPr>
          <w:rFonts w:ascii="Times New Roman" w:hAnsi="Times New Roman" w:cs="Times New Roman"/>
          <w:sz w:val="24"/>
          <w:szCs w:val="24"/>
        </w:rPr>
      </w:pPr>
    </w:p>
    <w:p w14:paraId="5EDCC4C1" w14:textId="539799CD" w:rsidR="00E76B8E" w:rsidRPr="00617DF3" w:rsidRDefault="00E76B8E" w:rsidP="003C6959">
      <w:pPr>
        <w:pStyle w:val="Descripcin"/>
        <w:keepNext/>
        <w:spacing w:after="0"/>
        <w:jc w:val="center"/>
        <w:rPr>
          <w:rFonts w:ascii="Times New Roman" w:hAnsi="Times New Roman" w:cs="Times New Roman"/>
          <w:i w:val="0"/>
          <w:iCs w:val="0"/>
          <w:color w:val="auto"/>
          <w:sz w:val="24"/>
          <w:szCs w:val="24"/>
        </w:rPr>
      </w:pPr>
      <w:r w:rsidRPr="0061135D">
        <w:rPr>
          <w:rFonts w:ascii="Times New Roman" w:hAnsi="Times New Roman" w:cs="Times New Roman"/>
          <w:b/>
          <w:i w:val="0"/>
          <w:color w:val="auto"/>
          <w:sz w:val="24"/>
          <w:szCs w:val="24"/>
        </w:rPr>
        <w:t xml:space="preserve">Tabla </w:t>
      </w:r>
      <w:r w:rsidRPr="0061135D">
        <w:rPr>
          <w:rFonts w:ascii="Times New Roman" w:hAnsi="Times New Roman" w:cs="Times New Roman"/>
          <w:b/>
          <w:i w:val="0"/>
          <w:color w:val="auto"/>
          <w:sz w:val="24"/>
          <w:szCs w:val="24"/>
        </w:rPr>
        <w:fldChar w:fldCharType="begin"/>
      </w:r>
      <w:r w:rsidRPr="00617DF3">
        <w:rPr>
          <w:rFonts w:ascii="Times New Roman" w:hAnsi="Times New Roman" w:cs="Times New Roman"/>
          <w:b/>
          <w:i w:val="0"/>
          <w:iCs w:val="0"/>
          <w:color w:val="auto"/>
          <w:sz w:val="24"/>
          <w:szCs w:val="24"/>
        </w:rPr>
        <w:instrText xml:space="preserve"> SEQ Tabla \* ARABIC </w:instrText>
      </w:r>
      <w:r w:rsidRPr="0061135D">
        <w:rPr>
          <w:rFonts w:ascii="Times New Roman" w:hAnsi="Times New Roman" w:cs="Times New Roman"/>
          <w:b/>
          <w:i w:val="0"/>
          <w:color w:val="auto"/>
          <w:sz w:val="24"/>
          <w:szCs w:val="24"/>
        </w:rPr>
        <w:fldChar w:fldCharType="separate"/>
      </w:r>
      <w:r w:rsidR="00707A83">
        <w:rPr>
          <w:rFonts w:ascii="Times New Roman" w:hAnsi="Times New Roman" w:cs="Times New Roman"/>
          <w:b/>
          <w:i w:val="0"/>
          <w:iCs w:val="0"/>
          <w:noProof/>
          <w:color w:val="auto"/>
          <w:sz w:val="24"/>
          <w:szCs w:val="24"/>
        </w:rPr>
        <w:t>1</w:t>
      </w:r>
      <w:r w:rsidRPr="0061135D">
        <w:rPr>
          <w:rFonts w:ascii="Times New Roman" w:hAnsi="Times New Roman" w:cs="Times New Roman"/>
          <w:b/>
          <w:i w:val="0"/>
          <w:color w:val="auto"/>
          <w:sz w:val="24"/>
          <w:szCs w:val="24"/>
        </w:rPr>
        <w:fldChar w:fldCharType="end"/>
      </w:r>
      <w:r w:rsidR="00D121BD" w:rsidRPr="00617DF3">
        <w:rPr>
          <w:rFonts w:ascii="Times New Roman" w:hAnsi="Times New Roman" w:cs="Times New Roman"/>
          <w:b/>
          <w:i w:val="0"/>
          <w:iCs w:val="0"/>
          <w:color w:val="auto"/>
          <w:sz w:val="24"/>
          <w:szCs w:val="24"/>
        </w:rPr>
        <w:t>.</w:t>
      </w:r>
      <w:r w:rsidRPr="00617DF3">
        <w:rPr>
          <w:rFonts w:ascii="Times New Roman" w:hAnsi="Times New Roman" w:cs="Times New Roman"/>
          <w:i w:val="0"/>
          <w:iCs w:val="0"/>
          <w:color w:val="auto"/>
          <w:sz w:val="24"/>
          <w:szCs w:val="24"/>
        </w:rPr>
        <w:t xml:space="preserve"> </w:t>
      </w:r>
      <w:r w:rsidR="00453696" w:rsidRPr="00617DF3">
        <w:rPr>
          <w:rFonts w:ascii="Times New Roman" w:hAnsi="Times New Roman" w:cs="Times New Roman"/>
          <w:i w:val="0"/>
          <w:iCs w:val="0"/>
          <w:color w:val="auto"/>
          <w:sz w:val="24"/>
          <w:szCs w:val="24"/>
        </w:rPr>
        <w:t xml:space="preserve">Fiabilidad y </w:t>
      </w:r>
      <w:r w:rsidRPr="00617DF3">
        <w:rPr>
          <w:rFonts w:ascii="Times New Roman" w:hAnsi="Times New Roman" w:cs="Times New Roman"/>
          <w:i w:val="0"/>
          <w:iCs w:val="0"/>
          <w:color w:val="auto"/>
          <w:sz w:val="24"/>
          <w:szCs w:val="24"/>
        </w:rPr>
        <w:t>Estadísticos Descriptivos niveles cognitivos de</w:t>
      </w:r>
      <w:r w:rsidR="00AE0A82" w:rsidRPr="00617DF3">
        <w:rPr>
          <w:rFonts w:ascii="Times New Roman" w:hAnsi="Times New Roman" w:cs="Times New Roman"/>
          <w:i w:val="0"/>
          <w:iCs w:val="0"/>
          <w:color w:val="auto"/>
          <w:sz w:val="24"/>
          <w:szCs w:val="24"/>
        </w:rPr>
        <w:t xml:space="preserve"> la taxonomía de</w:t>
      </w:r>
      <w:r w:rsidRPr="00617DF3">
        <w:rPr>
          <w:rFonts w:ascii="Times New Roman" w:hAnsi="Times New Roman" w:cs="Times New Roman"/>
          <w:i w:val="0"/>
          <w:iCs w:val="0"/>
          <w:color w:val="auto"/>
          <w:sz w:val="24"/>
          <w:szCs w:val="24"/>
        </w:rPr>
        <w:t xml:space="preserve"> Bloom</w:t>
      </w:r>
      <w:r w:rsidR="00987059" w:rsidRPr="00617DF3">
        <w:rPr>
          <w:rFonts w:ascii="Times New Roman" w:hAnsi="Times New Roman" w:cs="Times New Roman"/>
          <w:i w:val="0"/>
          <w:iCs w:val="0"/>
          <w:color w:val="auto"/>
          <w:sz w:val="24"/>
          <w:szCs w:val="24"/>
        </w:rPr>
        <w:t xml:space="preserve"> (</w:t>
      </w:r>
      <w:r w:rsidR="00987059" w:rsidRPr="00617DF3">
        <w:rPr>
          <w:rFonts w:ascii="Times New Roman" w:hAnsi="Times New Roman" w:cs="Times New Roman"/>
          <w:color w:val="auto"/>
          <w:sz w:val="24"/>
          <w:szCs w:val="24"/>
        </w:rPr>
        <w:t>N</w:t>
      </w:r>
      <w:r w:rsidR="00987059" w:rsidRPr="00617DF3">
        <w:rPr>
          <w:rFonts w:ascii="Times New Roman" w:hAnsi="Times New Roman" w:cs="Times New Roman"/>
          <w:i w:val="0"/>
          <w:iCs w:val="0"/>
          <w:color w:val="auto"/>
          <w:sz w:val="24"/>
          <w:szCs w:val="24"/>
        </w:rPr>
        <w:t>= 106</w:t>
      </w:r>
      <w:r w:rsidR="003A33DC" w:rsidRPr="00617DF3">
        <w:rPr>
          <w:rFonts w:ascii="Times New Roman" w:hAnsi="Times New Roman" w:cs="Times New Roman"/>
          <w:i w:val="0"/>
          <w:iCs w:val="0"/>
          <w:color w:val="auto"/>
          <w:sz w:val="24"/>
          <w:szCs w:val="24"/>
        </w:rPr>
        <w:t>)</w:t>
      </w:r>
    </w:p>
    <w:tbl>
      <w:tblPr>
        <w:tblW w:w="9334" w:type="dxa"/>
        <w:jc w:val="center"/>
        <w:tblLayout w:type="fixed"/>
        <w:tblCellMar>
          <w:left w:w="70" w:type="dxa"/>
          <w:right w:w="70" w:type="dxa"/>
        </w:tblCellMar>
        <w:tblLook w:val="04A0" w:firstRow="1" w:lastRow="0" w:firstColumn="1" w:lastColumn="0" w:noHBand="0" w:noVBand="1"/>
      </w:tblPr>
      <w:tblGrid>
        <w:gridCol w:w="2103"/>
        <w:gridCol w:w="4985"/>
        <w:gridCol w:w="748"/>
        <w:gridCol w:w="749"/>
        <w:gridCol w:w="749"/>
      </w:tblGrid>
      <w:tr w:rsidR="003C6959" w:rsidRPr="00617DF3" w14:paraId="57FC788D" w14:textId="77777777" w:rsidTr="0002646D">
        <w:trPr>
          <w:trHeight w:val="293"/>
          <w:jc w:val="center"/>
        </w:trPr>
        <w:tc>
          <w:tcPr>
            <w:tcW w:w="2103" w:type="dxa"/>
            <w:tcBorders>
              <w:top w:val="single" w:sz="4" w:space="0" w:color="auto"/>
              <w:bottom w:val="single" w:sz="12" w:space="0" w:color="auto"/>
            </w:tcBorders>
            <w:noWrap/>
            <w:hideMark/>
          </w:tcPr>
          <w:p w14:paraId="090CC8A7" w14:textId="70DF6299" w:rsidR="008376F5" w:rsidRPr="0061135D" w:rsidRDefault="008376F5" w:rsidP="003C6959">
            <w:pPr>
              <w:spacing w:after="0" w:line="240" w:lineRule="auto"/>
              <w:jc w:val="center"/>
              <w:rPr>
                <w:rFonts w:ascii="Times New Roman" w:hAnsi="Times New Roman" w:cs="Times New Roman"/>
                <w:kern w:val="0"/>
                <w:sz w:val="24"/>
                <w:szCs w:val="24"/>
                <w14:ligatures w14:val="none"/>
              </w:rPr>
            </w:pPr>
            <w:r w:rsidRPr="00617DF3">
              <w:rPr>
                <w:rFonts w:ascii="Times New Roman" w:eastAsia="Times New Roman" w:hAnsi="Times New Roman" w:cs="Times New Roman"/>
                <w:kern w:val="0"/>
                <w:sz w:val="24"/>
                <w:szCs w:val="24"/>
                <w:lang w:eastAsia="es-MX"/>
                <w14:ligatures w14:val="none"/>
              </w:rPr>
              <w:t>Nivel</w:t>
            </w:r>
          </w:p>
        </w:tc>
        <w:tc>
          <w:tcPr>
            <w:tcW w:w="4985" w:type="dxa"/>
            <w:tcBorders>
              <w:top w:val="single" w:sz="4" w:space="0" w:color="auto"/>
              <w:bottom w:val="single" w:sz="12" w:space="0" w:color="auto"/>
            </w:tcBorders>
          </w:tcPr>
          <w:p w14:paraId="1B18EEC3" w14:textId="776598CF" w:rsidR="008376F5" w:rsidRPr="00617DF3" w:rsidRDefault="008376F5" w:rsidP="003C6959">
            <w:pPr>
              <w:spacing w:after="0" w:line="240" w:lineRule="auto"/>
              <w:jc w:val="center"/>
              <w:rPr>
                <w:rFonts w:ascii="Times New Roman" w:eastAsia="Times New Roman" w:hAnsi="Times New Roman" w:cs="Times New Roman"/>
                <w:kern w:val="0"/>
                <w:sz w:val="24"/>
                <w:szCs w:val="24"/>
                <w:lang w:eastAsia="es-MX"/>
                <w14:ligatures w14:val="none"/>
              </w:rPr>
            </w:pPr>
            <w:proofErr w:type="spellStart"/>
            <w:r w:rsidRPr="00617DF3">
              <w:rPr>
                <w:rFonts w:ascii="Times New Roman" w:eastAsia="Times New Roman" w:hAnsi="Times New Roman" w:cs="Times New Roman"/>
                <w:kern w:val="0"/>
                <w:sz w:val="24"/>
                <w:szCs w:val="24"/>
                <w:lang w:eastAsia="es-MX"/>
                <w14:ligatures w14:val="none"/>
              </w:rPr>
              <w:t>Items</w:t>
            </w:r>
            <w:proofErr w:type="spellEnd"/>
          </w:p>
        </w:tc>
        <w:tc>
          <w:tcPr>
            <w:tcW w:w="748" w:type="dxa"/>
            <w:tcBorders>
              <w:top w:val="single" w:sz="4" w:space="0" w:color="auto"/>
              <w:bottom w:val="single" w:sz="12" w:space="0" w:color="auto"/>
            </w:tcBorders>
          </w:tcPr>
          <w:p w14:paraId="4AC60994" w14:textId="66F9E542" w:rsidR="008376F5" w:rsidRPr="00617DF3" w:rsidRDefault="00B15139" w:rsidP="003C6959">
            <w:pPr>
              <w:spacing w:after="0" w:line="240" w:lineRule="auto"/>
              <w:jc w:val="center"/>
              <w:rPr>
                <w:rFonts w:ascii="Times New Roman" w:eastAsia="Times New Roman" w:hAnsi="Times New Roman" w:cs="Times New Roman"/>
                <w:i/>
                <w:iCs/>
                <w:kern w:val="0"/>
                <w:sz w:val="24"/>
                <w:szCs w:val="24"/>
                <w:lang w:eastAsia="es-MX"/>
                <w14:ligatures w14:val="none"/>
              </w:rPr>
            </w:pPr>
            <w:r w:rsidRPr="00617DF3">
              <w:rPr>
                <w:rFonts w:ascii="Times New Roman" w:eastAsia="Times New Roman" w:hAnsi="Times New Roman" w:cs="Times New Roman"/>
                <w:i/>
                <w:iCs/>
                <w:kern w:val="0"/>
                <w:sz w:val="24"/>
                <w:szCs w:val="24"/>
                <w:lang w:eastAsia="es-MX"/>
                <w14:ligatures w14:val="none"/>
              </w:rPr>
              <w:t>α</w:t>
            </w:r>
          </w:p>
        </w:tc>
        <w:tc>
          <w:tcPr>
            <w:tcW w:w="749" w:type="dxa"/>
            <w:tcBorders>
              <w:top w:val="single" w:sz="4" w:space="0" w:color="auto"/>
              <w:bottom w:val="single" w:sz="12" w:space="0" w:color="auto"/>
            </w:tcBorders>
            <w:noWrap/>
            <w:hideMark/>
          </w:tcPr>
          <w:p w14:paraId="4A7A6524" w14:textId="041F9BDF" w:rsidR="008376F5" w:rsidRPr="0061135D" w:rsidRDefault="008376F5" w:rsidP="003C6959">
            <w:pPr>
              <w:spacing w:after="0" w:line="240" w:lineRule="auto"/>
              <w:jc w:val="center"/>
              <w:rPr>
                <w:rFonts w:ascii="Times New Roman" w:hAnsi="Times New Roman" w:cs="Times New Roman"/>
                <w:i/>
                <w:kern w:val="0"/>
                <w:sz w:val="24"/>
                <w:szCs w:val="24"/>
                <w14:ligatures w14:val="none"/>
              </w:rPr>
            </w:pPr>
            <w:r w:rsidRPr="0061135D">
              <w:rPr>
                <w:rFonts w:ascii="Times New Roman" w:hAnsi="Times New Roman" w:cs="Times New Roman"/>
                <w:i/>
                <w:kern w:val="0"/>
                <w:sz w:val="24"/>
                <w:szCs w:val="24"/>
                <w14:ligatures w14:val="none"/>
              </w:rPr>
              <w:t>M</w:t>
            </w:r>
            <w:r w:rsidR="0081280B" w:rsidRPr="00617DF3">
              <w:rPr>
                <w:rFonts w:ascii="Times New Roman" w:eastAsia="Times New Roman" w:hAnsi="Times New Roman" w:cs="Times New Roman"/>
                <w:i/>
                <w:iCs/>
                <w:kern w:val="0"/>
                <w:sz w:val="24"/>
                <w:szCs w:val="24"/>
                <w:lang w:eastAsia="es-MX"/>
                <w14:ligatures w14:val="none"/>
              </w:rPr>
              <w:t>*</w:t>
            </w:r>
          </w:p>
        </w:tc>
        <w:tc>
          <w:tcPr>
            <w:tcW w:w="749" w:type="dxa"/>
            <w:tcBorders>
              <w:top w:val="single" w:sz="4" w:space="0" w:color="auto"/>
              <w:bottom w:val="single" w:sz="12" w:space="0" w:color="auto"/>
            </w:tcBorders>
            <w:noWrap/>
            <w:hideMark/>
          </w:tcPr>
          <w:p w14:paraId="5486F1F0" w14:textId="2C2E204D" w:rsidR="008376F5" w:rsidRPr="0061135D" w:rsidRDefault="008376F5" w:rsidP="003C6959">
            <w:pPr>
              <w:spacing w:after="0" w:line="240" w:lineRule="auto"/>
              <w:jc w:val="center"/>
              <w:rPr>
                <w:rFonts w:ascii="Times New Roman" w:hAnsi="Times New Roman" w:cs="Times New Roman"/>
                <w:i/>
                <w:kern w:val="0"/>
                <w:sz w:val="24"/>
                <w:szCs w:val="24"/>
                <w14:ligatures w14:val="none"/>
              </w:rPr>
            </w:pPr>
            <w:r w:rsidRPr="0061135D">
              <w:rPr>
                <w:rFonts w:ascii="Times New Roman" w:hAnsi="Times New Roman" w:cs="Times New Roman"/>
                <w:i/>
                <w:kern w:val="0"/>
                <w:sz w:val="24"/>
                <w:szCs w:val="24"/>
                <w14:ligatures w14:val="none"/>
              </w:rPr>
              <w:t>DE</w:t>
            </w:r>
          </w:p>
        </w:tc>
      </w:tr>
      <w:tr w:rsidR="003C6959" w:rsidRPr="00617DF3" w14:paraId="15FBB40A" w14:textId="77777777" w:rsidTr="0002646D">
        <w:trPr>
          <w:trHeight w:val="293"/>
          <w:jc w:val="center"/>
        </w:trPr>
        <w:tc>
          <w:tcPr>
            <w:tcW w:w="2103" w:type="dxa"/>
            <w:tcBorders>
              <w:top w:val="single" w:sz="12" w:space="0" w:color="auto"/>
              <w:left w:val="nil"/>
              <w:bottom w:val="single" w:sz="2" w:space="0" w:color="auto"/>
              <w:right w:val="nil"/>
            </w:tcBorders>
            <w:noWrap/>
            <w:hideMark/>
          </w:tcPr>
          <w:p w14:paraId="0BA99670" w14:textId="3DEDDC44" w:rsidR="008376F5" w:rsidRPr="00617DF3" w:rsidRDefault="008376F5" w:rsidP="0061135D">
            <w:pPr>
              <w:spacing w:after="0" w:line="240" w:lineRule="auto"/>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1 = Recordación</w:t>
            </w:r>
          </w:p>
        </w:tc>
        <w:tc>
          <w:tcPr>
            <w:tcW w:w="4985" w:type="dxa"/>
            <w:tcBorders>
              <w:top w:val="single" w:sz="12" w:space="0" w:color="auto"/>
              <w:bottom w:val="single" w:sz="2" w:space="0" w:color="auto"/>
            </w:tcBorders>
          </w:tcPr>
          <w:p w14:paraId="267EFFBE" w14:textId="04AC9F4A" w:rsidR="008376F5" w:rsidRPr="00617DF3" w:rsidRDefault="00E82C80" w:rsidP="003C6959">
            <w:pPr>
              <w:spacing w:after="0" w:line="240" w:lineRule="auto"/>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 xml:space="preserve">1.1 </w:t>
            </w:r>
            <w:r w:rsidR="003635B2" w:rsidRPr="00617DF3">
              <w:rPr>
                <w:rFonts w:ascii="Times New Roman" w:eastAsia="Times New Roman" w:hAnsi="Times New Roman" w:cs="Times New Roman"/>
                <w:kern w:val="0"/>
                <w:sz w:val="24"/>
                <w:szCs w:val="24"/>
                <w:lang w:eastAsia="es-MX"/>
                <w14:ligatures w14:val="none"/>
              </w:rPr>
              <w:t>A</w:t>
            </w:r>
            <w:r w:rsidR="00806AC8" w:rsidRPr="00617DF3">
              <w:rPr>
                <w:rFonts w:ascii="Times New Roman" w:eastAsia="Times New Roman" w:hAnsi="Times New Roman" w:cs="Times New Roman"/>
                <w:kern w:val="0"/>
                <w:sz w:val="24"/>
                <w:szCs w:val="24"/>
                <w:lang w:eastAsia="es-MX"/>
                <w14:ligatures w14:val="none"/>
              </w:rPr>
              <w:t>prender</w:t>
            </w:r>
            <w:r w:rsidR="003635B2" w:rsidRPr="00617DF3">
              <w:rPr>
                <w:rFonts w:ascii="Times New Roman" w:eastAsia="Times New Roman" w:hAnsi="Times New Roman" w:cs="Times New Roman"/>
                <w:kern w:val="0"/>
                <w:sz w:val="24"/>
                <w:szCs w:val="24"/>
                <w:lang w:eastAsia="es-MX"/>
                <w14:ligatures w14:val="none"/>
              </w:rPr>
              <w:t xml:space="preserve"> </w:t>
            </w:r>
            <w:r w:rsidR="000C1039" w:rsidRPr="00617DF3">
              <w:rPr>
                <w:rFonts w:ascii="Times New Roman" w:eastAsia="Times New Roman" w:hAnsi="Times New Roman" w:cs="Times New Roman"/>
                <w:kern w:val="0"/>
                <w:sz w:val="24"/>
                <w:szCs w:val="24"/>
                <w:lang w:eastAsia="es-MX"/>
                <w14:ligatures w14:val="none"/>
              </w:rPr>
              <w:t>conceptos</w:t>
            </w:r>
          </w:p>
          <w:p w14:paraId="7125F170" w14:textId="7128D761" w:rsidR="008376F5" w:rsidRPr="00617DF3" w:rsidRDefault="00E82C80" w:rsidP="003C6959">
            <w:pPr>
              <w:spacing w:after="0" w:line="240" w:lineRule="auto"/>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 xml:space="preserve">1.2 </w:t>
            </w:r>
            <w:r w:rsidR="00FF2846" w:rsidRPr="00617DF3">
              <w:rPr>
                <w:rFonts w:ascii="Times New Roman" w:eastAsia="Times New Roman" w:hAnsi="Times New Roman" w:cs="Times New Roman"/>
                <w:kern w:val="0"/>
                <w:sz w:val="24"/>
                <w:szCs w:val="24"/>
                <w:lang w:eastAsia="es-MX"/>
                <w14:ligatures w14:val="none"/>
              </w:rPr>
              <w:t>Retener información</w:t>
            </w:r>
          </w:p>
          <w:p w14:paraId="3CC4E16A" w14:textId="1E116876" w:rsidR="008376F5" w:rsidRPr="00617DF3" w:rsidRDefault="00E82C80" w:rsidP="003C6959">
            <w:pPr>
              <w:spacing w:after="0" w:line="240" w:lineRule="auto"/>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 xml:space="preserve">1.3 </w:t>
            </w:r>
            <w:r w:rsidR="004F4C4D" w:rsidRPr="00617DF3">
              <w:rPr>
                <w:rFonts w:ascii="Times New Roman" w:eastAsia="Times New Roman" w:hAnsi="Times New Roman" w:cs="Times New Roman"/>
                <w:kern w:val="0"/>
                <w:sz w:val="24"/>
                <w:szCs w:val="24"/>
                <w:lang w:eastAsia="es-MX"/>
                <w14:ligatures w14:val="none"/>
              </w:rPr>
              <w:t>Memorizar</w:t>
            </w:r>
            <w:r w:rsidR="008376F5" w:rsidRPr="00617DF3">
              <w:rPr>
                <w:rFonts w:ascii="Times New Roman" w:eastAsia="Times New Roman" w:hAnsi="Times New Roman" w:cs="Times New Roman"/>
                <w:kern w:val="0"/>
                <w:sz w:val="24"/>
                <w:szCs w:val="24"/>
                <w:lang w:eastAsia="es-MX"/>
                <w14:ligatures w14:val="none"/>
              </w:rPr>
              <w:t xml:space="preserve"> </w:t>
            </w:r>
            <w:r w:rsidR="000C1039" w:rsidRPr="00617DF3">
              <w:rPr>
                <w:rFonts w:ascii="Times New Roman" w:eastAsia="Times New Roman" w:hAnsi="Times New Roman" w:cs="Times New Roman"/>
                <w:kern w:val="0"/>
                <w:sz w:val="24"/>
                <w:szCs w:val="24"/>
                <w:lang w:eastAsia="es-MX"/>
                <w14:ligatures w14:val="none"/>
              </w:rPr>
              <w:t>información básica</w:t>
            </w:r>
          </w:p>
        </w:tc>
        <w:tc>
          <w:tcPr>
            <w:tcW w:w="748" w:type="dxa"/>
            <w:tcBorders>
              <w:top w:val="single" w:sz="12" w:space="0" w:color="auto"/>
              <w:bottom w:val="single" w:sz="2" w:space="0" w:color="auto"/>
            </w:tcBorders>
            <w:vAlign w:val="center"/>
          </w:tcPr>
          <w:p w14:paraId="50BF2E26" w14:textId="01EAB99A" w:rsidR="008376F5" w:rsidRPr="00617DF3" w:rsidRDefault="00B15139" w:rsidP="003C6959">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0.89</w:t>
            </w:r>
          </w:p>
        </w:tc>
        <w:tc>
          <w:tcPr>
            <w:tcW w:w="749" w:type="dxa"/>
            <w:tcBorders>
              <w:top w:val="single" w:sz="12" w:space="0" w:color="auto"/>
              <w:left w:val="nil"/>
              <w:bottom w:val="single" w:sz="2" w:space="0" w:color="auto"/>
              <w:right w:val="nil"/>
            </w:tcBorders>
            <w:noWrap/>
            <w:vAlign w:val="center"/>
            <w:hideMark/>
          </w:tcPr>
          <w:p w14:paraId="03FCF8AB" w14:textId="4AB65A9E" w:rsidR="008376F5" w:rsidRPr="00617DF3" w:rsidRDefault="008376F5" w:rsidP="0061135D">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5.45</w:t>
            </w:r>
          </w:p>
        </w:tc>
        <w:tc>
          <w:tcPr>
            <w:tcW w:w="749" w:type="dxa"/>
            <w:tcBorders>
              <w:top w:val="single" w:sz="12" w:space="0" w:color="auto"/>
              <w:left w:val="nil"/>
              <w:bottom w:val="single" w:sz="2" w:space="0" w:color="auto"/>
              <w:right w:val="nil"/>
            </w:tcBorders>
            <w:noWrap/>
            <w:vAlign w:val="center"/>
            <w:hideMark/>
          </w:tcPr>
          <w:p w14:paraId="1ADC7185" w14:textId="34B6AC2D" w:rsidR="008376F5" w:rsidRPr="00617DF3" w:rsidRDefault="008376F5" w:rsidP="0061135D">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1.20</w:t>
            </w:r>
          </w:p>
        </w:tc>
      </w:tr>
      <w:tr w:rsidR="003C6959" w:rsidRPr="00617DF3" w14:paraId="6CFF7333" w14:textId="77777777" w:rsidTr="0002646D">
        <w:trPr>
          <w:trHeight w:val="293"/>
          <w:jc w:val="center"/>
        </w:trPr>
        <w:tc>
          <w:tcPr>
            <w:tcW w:w="2103" w:type="dxa"/>
            <w:tcBorders>
              <w:top w:val="single" w:sz="2" w:space="0" w:color="auto"/>
              <w:left w:val="nil"/>
              <w:bottom w:val="single" w:sz="2" w:space="0" w:color="auto"/>
              <w:right w:val="nil"/>
            </w:tcBorders>
            <w:noWrap/>
            <w:hideMark/>
          </w:tcPr>
          <w:p w14:paraId="7436AA5D" w14:textId="37C4D070" w:rsidR="008376F5" w:rsidRPr="00617DF3" w:rsidRDefault="008376F5" w:rsidP="0061135D">
            <w:pPr>
              <w:spacing w:after="0" w:line="240" w:lineRule="auto"/>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2 = Comprensión</w:t>
            </w:r>
          </w:p>
        </w:tc>
        <w:tc>
          <w:tcPr>
            <w:tcW w:w="4985" w:type="dxa"/>
            <w:tcBorders>
              <w:top w:val="single" w:sz="2" w:space="0" w:color="auto"/>
              <w:bottom w:val="single" w:sz="2" w:space="0" w:color="auto"/>
            </w:tcBorders>
          </w:tcPr>
          <w:p w14:paraId="45AEBCD7" w14:textId="0E77ED69" w:rsidR="003579C9" w:rsidRPr="00617DF3" w:rsidRDefault="00E82C80" w:rsidP="003C6959">
            <w:pPr>
              <w:spacing w:after="0" w:line="240" w:lineRule="auto"/>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 xml:space="preserve">2.1 </w:t>
            </w:r>
            <w:r w:rsidR="003579C9" w:rsidRPr="00617DF3">
              <w:rPr>
                <w:rFonts w:ascii="Times New Roman" w:eastAsia="Times New Roman" w:hAnsi="Times New Roman" w:cs="Times New Roman"/>
                <w:kern w:val="0"/>
                <w:sz w:val="24"/>
                <w:szCs w:val="24"/>
                <w:lang w:eastAsia="es-MX"/>
                <w14:ligatures w14:val="none"/>
              </w:rPr>
              <w:t>Entender métodos y mediciones</w:t>
            </w:r>
          </w:p>
          <w:p w14:paraId="5B8F5A0C" w14:textId="55F44769" w:rsidR="003579C9" w:rsidRPr="00617DF3" w:rsidRDefault="00E82C80" w:rsidP="003C6959">
            <w:pPr>
              <w:spacing w:after="0" w:line="240" w:lineRule="auto"/>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 xml:space="preserve">2.2 </w:t>
            </w:r>
            <w:r w:rsidR="00041032" w:rsidRPr="00617DF3">
              <w:rPr>
                <w:rFonts w:ascii="Times New Roman" w:eastAsia="Times New Roman" w:hAnsi="Times New Roman" w:cs="Times New Roman"/>
                <w:kern w:val="0"/>
                <w:sz w:val="24"/>
                <w:szCs w:val="24"/>
                <w:lang w:eastAsia="es-MX"/>
                <w14:ligatures w14:val="none"/>
              </w:rPr>
              <w:t>P</w:t>
            </w:r>
            <w:r w:rsidR="003579C9" w:rsidRPr="00617DF3">
              <w:rPr>
                <w:rFonts w:ascii="Times New Roman" w:eastAsia="Times New Roman" w:hAnsi="Times New Roman" w:cs="Times New Roman"/>
                <w:kern w:val="0"/>
                <w:sz w:val="24"/>
                <w:szCs w:val="24"/>
                <w:lang w:eastAsia="es-MX"/>
                <w14:ligatures w14:val="none"/>
              </w:rPr>
              <w:t>ensar por mí mismo</w:t>
            </w:r>
          </w:p>
          <w:p w14:paraId="3443FB69" w14:textId="78E11CD3" w:rsidR="008376F5" w:rsidRPr="00617DF3" w:rsidRDefault="00E82C80" w:rsidP="003C6959">
            <w:pPr>
              <w:spacing w:after="0" w:line="240" w:lineRule="auto"/>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 xml:space="preserve">2.3 </w:t>
            </w:r>
            <w:r w:rsidR="005B7038" w:rsidRPr="00617DF3">
              <w:rPr>
                <w:rFonts w:ascii="Times New Roman" w:eastAsia="Times New Roman" w:hAnsi="Times New Roman" w:cs="Times New Roman"/>
                <w:kern w:val="0"/>
                <w:sz w:val="24"/>
                <w:szCs w:val="24"/>
                <w:lang w:eastAsia="es-MX"/>
                <w14:ligatures w14:val="none"/>
              </w:rPr>
              <w:t>Explicar</w:t>
            </w:r>
            <w:r w:rsidR="00A958B6" w:rsidRPr="00617DF3">
              <w:rPr>
                <w:rFonts w:ascii="Times New Roman" w:eastAsia="Times New Roman" w:hAnsi="Times New Roman" w:cs="Times New Roman"/>
                <w:kern w:val="0"/>
                <w:sz w:val="24"/>
                <w:szCs w:val="24"/>
                <w:lang w:eastAsia="es-MX"/>
                <w14:ligatures w14:val="none"/>
              </w:rPr>
              <w:t xml:space="preserve"> la metodología </w:t>
            </w:r>
          </w:p>
        </w:tc>
        <w:tc>
          <w:tcPr>
            <w:tcW w:w="748" w:type="dxa"/>
            <w:tcBorders>
              <w:top w:val="single" w:sz="2" w:space="0" w:color="auto"/>
              <w:bottom w:val="single" w:sz="2" w:space="0" w:color="auto"/>
            </w:tcBorders>
            <w:vAlign w:val="center"/>
          </w:tcPr>
          <w:p w14:paraId="259D11E4" w14:textId="2097C2CA" w:rsidR="008376F5" w:rsidRPr="00617DF3" w:rsidRDefault="00B15139" w:rsidP="003C6959">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0.8</w:t>
            </w:r>
            <w:r w:rsidR="000C308A" w:rsidRPr="00617DF3">
              <w:rPr>
                <w:rFonts w:ascii="Times New Roman" w:eastAsia="Times New Roman" w:hAnsi="Times New Roman" w:cs="Times New Roman"/>
                <w:kern w:val="0"/>
                <w:sz w:val="24"/>
                <w:szCs w:val="24"/>
                <w:lang w:eastAsia="es-MX"/>
                <w14:ligatures w14:val="none"/>
              </w:rPr>
              <w:t>3</w:t>
            </w:r>
          </w:p>
        </w:tc>
        <w:tc>
          <w:tcPr>
            <w:tcW w:w="749" w:type="dxa"/>
            <w:tcBorders>
              <w:top w:val="single" w:sz="2" w:space="0" w:color="auto"/>
              <w:left w:val="nil"/>
              <w:bottom w:val="single" w:sz="2" w:space="0" w:color="auto"/>
              <w:right w:val="nil"/>
            </w:tcBorders>
            <w:noWrap/>
            <w:vAlign w:val="center"/>
            <w:hideMark/>
          </w:tcPr>
          <w:p w14:paraId="70329D9B" w14:textId="6FC9A3C8" w:rsidR="008376F5" w:rsidRPr="00617DF3" w:rsidRDefault="008376F5" w:rsidP="0061135D">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5.76</w:t>
            </w:r>
          </w:p>
        </w:tc>
        <w:tc>
          <w:tcPr>
            <w:tcW w:w="749" w:type="dxa"/>
            <w:tcBorders>
              <w:top w:val="single" w:sz="2" w:space="0" w:color="auto"/>
              <w:left w:val="nil"/>
              <w:bottom w:val="single" w:sz="2" w:space="0" w:color="auto"/>
              <w:right w:val="nil"/>
            </w:tcBorders>
            <w:noWrap/>
            <w:vAlign w:val="center"/>
            <w:hideMark/>
          </w:tcPr>
          <w:p w14:paraId="60D52BD5" w14:textId="3368957D" w:rsidR="008376F5" w:rsidRPr="00617DF3" w:rsidRDefault="008376F5" w:rsidP="0061135D">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1.05</w:t>
            </w:r>
          </w:p>
        </w:tc>
      </w:tr>
      <w:tr w:rsidR="003C6959" w:rsidRPr="00617DF3" w14:paraId="4B5CBE26" w14:textId="77777777" w:rsidTr="0002646D">
        <w:trPr>
          <w:trHeight w:val="293"/>
          <w:jc w:val="center"/>
        </w:trPr>
        <w:tc>
          <w:tcPr>
            <w:tcW w:w="2103" w:type="dxa"/>
            <w:tcBorders>
              <w:top w:val="single" w:sz="2" w:space="0" w:color="auto"/>
              <w:left w:val="nil"/>
              <w:bottom w:val="single" w:sz="2" w:space="0" w:color="auto"/>
              <w:right w:val="nil"/>
            </w:tcBorders>
            <w:noWrap/>
            <w:hideMark/>
          </w:tcPr>
          <w:p w14:paraId="1EF37027" w14:textId="3CA60A41" w:rsidR="008376F5" w:rsidRPr="00617DF3" w:rsidRDefault="008376F5" w:rsidP="0061135D">
            <w:pPr>
              <w:spacing w:after="0" w:line="240" w:lineRule="auto"/>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3 = Aplicación</w:t>
            </w:r>
          </w:p>
        </w:tc>
        <w:tc>
          <w:tcPr>
            <w:tcW w:w="4985" w:type="dxa"/>
            <w:tcBorders>
              <w:top w:val="single" w:sz="2" w:space="0" w:color="auto"/>
              <w:bottom w:val="single" w:sz="2" w:space="0" w:color="auto"/>
            </w:tcBorders>
          </w:tcPr>
          <w:p w14:paraId="1863A620" w14:textId="333F75C4" w:rsidR="009A0F75" w:rsidRPr="00617DF3" w:rsidRDefault="00E82C80" w:rsidP="003C6959">
            <w:pPr>
              <w:spacing w:after="0" w:line="240" w:lineRule="auto"/>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 xml:space="preserve">3.1 </w:t>
            </w:r>
            <w:r w:rsidR="009A0F75" w:rsidRPr="00617DF3">
              <w:rPr>
                <w:rFonts w:ascii="Times New Roman" w:eastAsia="Times New Roman" w:hAnsi="Times New Roman" w:cs="Times New Roman"/>
                <w:kern w:val="0"/>
                <w:sz w:val="24"/>
                <w:szCs w:val="24"/>
                <w:lang w:eastAsia="es-MX"/>
                <w14:ligatures w14:val="none"/>
              </w:rPr>
              <w:t>Solucionar problemas reales</w:t>
            </w:r>
          </w:p>
          <w:p w14:paraId="61FB4D42" w14:textId="2C018339" w:rsidR="008376F5" w:rsidRPr="00617DF3" w:rsidRDefault="00E82C80" w:rsidP="003C6959">
            <w:pPr>
              <w:spacing w:after="0" w:line="240" w:lineRule="auto"/>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 xml:space="preserve">3.2 </w:t>
            </w:r>
            <w:r w:rsidR="004412B1" w:rsidRPr="00617DF3">
              <w:rPr>
                <w:rFonts w:ascii="Times New Roman" w:eastAsia="Times New Roman" w:hAnsi="Times New Roman" w:cs="Times New Roman"/>
                <w:kern w:val="0"/>
                <w:sz w:val="24"/>
                <w:szCs w:val="24"/>
                <w:lang w:eastAsia="es-MX"/>
                <w14:ligatures w14:val="none"/>
              </w:rPr>
              <w:t>Ejecutar</w:t>
            </w:r>
            <w:r w:rsidR="009A0F75" w:rsidRPr="00617DF3">
              <w:rPr>
                <w:rFonts w:ascii="Times New Roman" w:eastAsia="Times New Roman" w:hAnsi="Times New Roman" w:cs="Times New Roman"/>
                <w:kern w:val="0"/>
                <w:sz w:val="24"/>
                <w:szCs w:val="24"/>
                <w:lang w:eastAsia="es-MX"/>
                <w14:ligatures w14:val="none"/>
              </w:rPr>
              <w:t xml:space="preserve"> medici</w:t>
            </w:r>
            <w:r w:rsidR="004412B1" w:rsidRPr="00617DF3">
              <w:rPr>
                <w:rFonts w:ascii="Times New Roman" w:eastAsia="Times New Roman" w:hAnsi="Times New Roman" w:cs="Times New Roman"/>
                <w:kern w:val="0"/>
                <w:sz w:val="24"/>
                <w:szCs w:val="24"/>
                <w:lang w:eastAsia="es-MX"/>
                <w14:ligatures w14:val="none"/>
              </w:rPr>
              <w:t>ones reales</w:t>
            </w:r>
          </w:p>
          <w:p w14:paraId="21D2E779" w14:textId="701D46DD" w:rsidR="004412B1" w:rsidRPr="00617DF3" w:rsidRDefault="00E82C80" w:rsidP="003C6959">
            <w:pPr>
              <w:spacing w:after="0" w:line="240" w:lineRule="auto"/>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 xml:space="preserve">3.3 </w:t>
            </w:r>
            <w:r w:rsidR="00B12A7A" w:rsidRPr="00617DF3">
              <w:rPr>
                <w:rFonts w:ascii="Times New Roman" w:eastAsia="Times New Roman" w:hAnsi="Times New Roman" w:cs="Times New Roman"/>
                <w:kern w:val="0"/>
                <w:sz w:val="24"/>
                <w:szCs w:val="24"/>
                <w:lang w:eastAsia="es-MX"/>
                <w14:ligatures w14:val="none"/>
              </w:rPr>
              <w:t xml:space="preserve">Implementar </w:t>
            </w:r>
            <w:r w:rsidR="0088077A" w:rsidRPr="00617DF3">
              <w:rPr>
                <w:rFonts w:ascii="Times New Roman" w:eastAsia="Times New Roman" w:hAnsi="Times New Roman" w:cs="Times New Roman"/>
                <w:kern w:val="0"/>
                <w:sz w:val="24"/>
                <w:szCs w:val="24"/>
                <w:lang w:eastAsia="es-MX"/>
                <w14:ligatures w14:val="none"/>
              </w:rPr>
              <w:t>los conocimientos en situaciones reales.</w:t>
            </w:r>
          </w:p>
        </w:tc>
        <w:tc>
          <w:tcPr>
            <w:tcW w:w="748" w:type="dxa"/>
            <w:tcBorders>
              <w:top w:val="single" w:sz="2" w:space="0" w:color="auto"/>
              <w:bottom w:val="single" w:sz="2" w:space="0" w:color="auto"/>
            </w:tcBorders>
            <w:vAlign w:val="center"/>
          </w:tcPr>
          <w:p w14:paraId="4565B1E9" w14:textId="5D701C2E" w:rsidR="008376F5" w:rsidRPr="00617DF3" w:rsidRDefault="00B15139" w:rsidP="003C6959">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0.75</w:t>
            </w:r>
          </w:p>
        </w:tc>
        <w:tc>
          <w:tcPr>
            <w:tcW w:w="749" w:type="dxa"/>
            <w:tcBorders>
              <w:top w:val="single" w:sz="2" w:space="0" w:color="auto"/>
              <w:left w:val="nil"/>
              <w:bottom w:val="single" w:sz="2" w:space="0" w:color="auto"/>
              <w:right w:val="nil"/>
            </w:tcBorders>
            <w:noWrap/>
            <w:vAlign w:val="center"/>
            <w:hideMark/>
          </w:tcPr>
          <w:p w14:paraId="7C224F1F" w14:textId="690023AE" w:rsidR="008376F5" w:rsidRPr="00617DF3" w:rsidRDefault="008376F5" w:rsidP="0061135D">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6.01</w:t>
            </w:r>
          </w:p>
        </w:tc>
        <w:tc>
          <w:tcPr>
            <w:tcW w:w="749" w:type="dxa"/>
            <w:tcBorders>
              <w:top w:val="single" w:sz="2" w:space="0" w:color="auto"/>
              <w:left w:val="nil"/>
              <w:bottom w:val="single" w:sz="2" w:space="0" w:color="auto"/>
              <w:right w:val="nil"/>
            </w:tcBorders>
            <w:noWrap/>
            <w:vAlign w:val="center"/>
            <w:hideMark/>
          </w:tcPr>
          <w:p w14:paraId="4B4258FD" w14:textId="3244DAC0" w:rsidR="008376F5" w:rsidRPr="00617DF3" w:rsidRDefault="008376F5" w:rsidP="0061135D">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1.03</w:t>
            </w:r>
          </w:p>
        </w:tc>
      </w:tr>
      <w:tr w:rsidR="003C6959" w:rsidRPr="00617DF3" w14:paraId="22AEC242" w14:textId="77777777" w:rsidTr="0002646D">
        <w:trPr>
          <w:trHeight w:val="293"/>
          <w:jc w:val="center"/>
        </w:trPr>
        <w:tc>
          <w:tcPr>
            <w:tcW w:w="2103" w:type="dxa"/>
            <w:tcBorders>
              <w:top w:val="single" w:sz="2" w:space="0" w:color="auto"/>
              <w:left w:val="nil"/>
              <w:bottom w:val="single" w:sz="2" w:space="0" w:color="auto"/>
              <w:right w:val="nil"/>
            </w:tcBorders>
            <w:noWrap/>
            <w:hideMark/>
          </w:tcPr>
          <w:p w14:paraId="3FF78249" w14:textId="39871025" w:rsidR="008376F5" w:rsidRPr="00617DF3" w:rsidRDefault="008376F5" w:rsidP="0061135D">
            <w:pPr>
              <w:spacing w:after="0" w:line="240" w:lineRule="auto"/>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 xml:space="preserve">4 = Análisis </w:t>
            </w:r>
          </w:p>
        </w:tc>
        <w:tc>
          <w:tcPr>
            <w:tcW w:w="4985" w:type="dxa"/>
            <w:tcBorders>
              <w:top w:val="single" w:sz="2" w:space="0" w:color="auto"/>
              <w:bottom w:val="single" w:sz="2" w:space="0" w:color="auto"/>
            </w:tcBorders>
          </w:tcPr>
          <w:p w14:paraId="6B7F3A85" w14:textId="210C8D00" w:rsidR="006D7FC0" w:rsidRPr="00617DF3" w:rsidRDefault="00E82C80" w:rsidP="003C6959">
            <w:pPr>
              <w:spacing w:after="0" w:line="240" w:lineRule="auto"/>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 xml:space="preserve">4.1 </w:t>
            </w:r>
            <w:r w:rsidR="00EB3B40" w:rsidRPr="00617DF3">
              <w:rPr>
                <w:rFonts w:ascii="Times New Roman" w:eastAsia="Times New Roman" w:hAnsi="Times New Roman" w:cs="Times New Roman"/>
                <w:kern w:val="0"/>
                <w:sz w:val="24"/>
                <w:szCs w:val="24"/>
                <w:lang w:eastAsia="es-MX"/>
                <w14:ligatures w14:val="none"/>
              </w:rPr>
              <w:t>Utilizar</w:t>
            </w:r>
            <w:r w:rsidR="00FF1B06" w:rsidRPr="00617DF3">
              <w:rPr>
                <w:rFonts w:ascii="Times New Roman" w:eastAsia="Times New Roman" w:hAnsi="Times New Roman" w:cs="Times New Roman"/>
                <w:kern w:val="0"/>
                <w:sz w:val="24"/>
                <w:szCs w:val="24"/>
                <w:lang w:eastAsia="es-MX"/>
                <w14:ligatures w14:val="none"/>
              </w:rPr>
              <w:t>lo</w:t>
            </w:r>
            <w:r w:rsidR="006D7FC0" w:rsidRPr="00617DF3">
              <w:rPr>
                <w:rFonts w:ascii="Times New Roman" w:eastAsia="Times New Roman" w:hAnsi="Times New Roman" w:cs="Times New Roman"/>
                <w:kern w:val="0"/>
                <w:sz w:val="24"/>
                <w:szCs w:val="24"/>
                <w:lang w:eastAsia="es-MX"/>
                <w14:ligatures w14:val="none"/>
              </w:rPr>
              <w:t xml:space="preserve"> para </w:t>
            </w:r>
            <w:r w:rsidR="00EB3B40" w:rsidRPr="00617DF3">
              <w:rPr>
                <w:rFonts w:ascii="Times New Roman" w:eastAsia="Times New Roman" w:hAnsi="Times New Roman" w:cs="Times New Roman"/>
                <w:kern w:val="0"/>
                <w:sz w:val="24"/>
                <w:szCs w:val="24"/>
                <w:lang w:eastAsia="es-MX"/>
                <w14:ligatures w14:val="none"/>
              </w:rPr>
              <w:t>el análisis de datos</w:t>
            </w:r>
          </w:p>
          <w:p w14:paraId="5701703B" w14:textId="0A09D4C3" w:rsidR="008376F5" w:rsidRPr="00617DF3" w:rsidRDefault="00E82C80" w:rsidP="003C6959">
            <w:pPr>
              <w:spacing w:after="0" w:line="240" w:lineRule="auto"/>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lastRenderedPageBreak/>
              <w:t xml:space="preserve">4.2 </w:t>
            </w:r>
            <w:r w:rsidR="006108CA" w:rsidRPr="00617DF3">
              <w:rPr>
                <w:rFonts w:ascii="Times New Roman" w:eastAsia="Times New Roman" w:hAnsi="Times New Roman" w:cs="Times New Roman"/>
                <w:kern w:val="0"/>
                <w:sz w:val="24"/>
                <w:szCs w:val="24"/>
                <w:lang w:eastAsia="es-MX"/>
                <w14:ligatures w14:val="none"/>
              </w:rPr>
              <w:t xml:space="preserve">Descomponer data en </w:t>
            </w:r>
            <w:r w:rsidR="0002646D" w:rsidRPr="00617DF3">
              <w:rPr>
                <w:rFonts w:ascii="Times New Roman" w:eastAsia="Times New Roman" w:hAnsi="Times New Roman" w:cs="Times New Roman"/>
                <w:kern w:val="0"/>
                <w:sz w:val="24"/>
                <w:szCs w:val="24"/>
                <w:lang w:eastAsia="es-MX"/>
                <w14:ligatures w14:val="none"/>
              </w:rPr>
              <w:t xml:space="preserve">información </w:t>
            </w:r>
            <w:r w:rsidR="006108CA" w:rsidRPr="00617DF3">
              <w:rPr>
                <w:rFonts w:ascii="Times New Roman" w:eastAsia="Times New Roman" w:hAnsi="Times New Roman" w:cs="Times New Roman"/>
                <w:kern w:val="0"/>
                <w:sz w:val="24"/>
                <w:szCs w:val="24"/>
                <w:lang w:eastAsia="es-MX"/>
                <w14:ligatures w14:val="none"/>
              </w:rPr>
              <w:t>signi</w:t>
            </w:r>
            <w:r w:rsidR="00EB3B40" w:rsidRPr="00617DF3">
              <w:rPr>
                <w:rFonts w:ascii="Times New Roman" w:eastAsia="Times New Roman" w:hAnsi="Times New Roman" w:cs="Times New Roman"/>
                <w:kern w:val="0"/>
                <w:sz w:val="24"/>
                <w:szCs w:val="24"/>
                <w:lang w:eastAsia="es-MX"/>
                <w14:ligatures w14:val="none"/>
              </w:rPr>
              <w:t>f</w:t>
            </w:r>
            <w:r w:rsidR="006108CA" w:rsidRPr="00617DF3">
              <w:rPr>
                <w:rFonts w:ascii="Times New Roman" w:eastAsia="Times New Roman" w:hAnsi="Times New Roman" w:cs="Times New Roman"/>
                <w:kern w:val="0"/>
                <w:sz w:val="24"/>
                <w:szCs w:val="24"/>
                <w:lang w:eastAsia="es-MX"/>
                <w14:ligatures w14:val="none"/>
              </w:rPr>
              <w:t>icativa</w:t>
            </w:r>
          </w:p>
          <w:p w14:paraId="51D56B4C" w14:textId="73838E14" w:rsidR="003768A6" w:rsidRPr="00617DF3" w:rsidRDefault="00E82C80" w:rsidP="003C6959">
            <w:pPr>
              <w:spacing w:after="0" w:line="240" w:lineRule="auto"/>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 xml:space="preserve">4.3 </w:t>
            </w:r>
            <w:r w:rsidR="009646F8" w:rsidRPr="00617DF3">
              <w:rPr>
                <w:rFonts w:ascii="Times New Roman" w:eastAsia="Times New Roman" w:hAnsi="Times New Roman" w:cs="Times New Roman"/>
                <w:kern w:val="0"/>
                <w:sz w:val="24"/>
                <w:szCs w:val="24"/>
                <w:lang w:eastAsia="es-MX"/>
                <w14:ligatures w14:val="none"/>
              </w:rPr>
              <w:t>Analizar percepciones de los clientes</w:t>
            </w:r>
          </w:p>
        </w:tc>
        <w:tc>
          <w:tcPr>
            <w:tcW w:w="748" w:type="dxa"/>
            <w:tcBorders>
              <w:top w:val="single" w:sz="2" w:space="0" w:color="auto"/>
              <w:bottom w:val="single" w:sz="2" w:space="0" w:color="auto"/>
            </w:tcBorders>
            <w:vAlign w:val="center"/>
          </w:tcPr>
          <w:p w14:paraId="37AC1B93" w14:textId="4CE1BFED" w:rsidR="008376F5" w:rsidRPr="00617DF3" w:rsidRDefault="00B15139" w:rsidP="003C6959">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lastRenderedPageBreak/>
              <w:t>0.72</w:t>
            </w:r>
          </w:p>
        </w:tc>
        <w:tc>
          <w:tcPr>
            <w:tcW w:w="749" w:type="dxa"/>
            <w:tcBorders>
              <w:top w:val="single" w:sz="2" w:space="0" w:color="auto"/>
              <w:left w:val="nil"/>
              <w:bottom w:val="single" w:sz="2" w:space="0" w:color="auto"/>
              <w:right w:val="nil"/>
            </w:tcBorders>
            <w:noWrap/>
            <w:vAlign w:val="center"/>
            <w:hideMark/>
          </w:tcPr>
          <w:p w14:paraId="154DF321" w14:textId="4E308D5E" w:rsidR="008376F5" w:rsidRPr="00617DF3" w:rsidRDefault="008376F5" w:rsidP="0061135D">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6.18</w:t>
            </w:r>
          </w:p>
        </w:tc>
        <w:tc>
          <w:tcPr>
            <w:tcW w:w="749" w:type="dxa"/>
            <w:tcBorders>
              <w:top w:val="single" w:sz="2" w:space="0" w:color="auto"/>
              <w:left w:val="nil"/>
              <w:bottom w:val="single" w:sz="2" w:space="0" w:color="auto"/>
              <w:right w:val="nil"/>
            </w:tcBorders>
            <w:noWrap/>
            <w:vAlign w:val="center"/>
            <w:hideMark/>
          </w:tcPr>
          <w:p w14:paraId="6A74ECD6" w14:textId="1688C9F3" w:rsidR="008376F5" w:rsidRPr="00617DF3" w:rsidRDefault="008376F5" w:rsidP="0061135D">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0.93</w:t>
            </w:r>
          </w:p>
        </w:tc>
      </w:tr>
      <w:tr w:rsidR="003C6959" w:rsidRPr="00617DF3" w14:paraId="232391B5" w14:textId="77777777" w:rsidTr="0002646D">
        <w:trPr>
          <w:trHeight w:val="293"/>
          <w:jc w:val="center"/>
        </w:trPr>
        <w:tc>
          <w:tcPr>
            <w:tcW w:w="2103" w:type="dxa"/>
            <w:tcBorders>
              <w:top w:val="single" w:sz="2" w:space="0" w:color="auto"/>
              <w:left w:val="nil"/>
              <w:bottom w:val="single" w:sz="2" w:space="0" w:color="auto"/>
              <w:right w:val="nil"/>
            </w:tcBorders>
            <w:noWrap/>
            <w:hideMark/>
          </w:tcPr>
          <w:p w14:paraId="255F22C3" w14:textId="0041A774" w:rsidR="008376F5" w:rsidRPr="00617DF3" w:rsidRDefault="008376F5" w:rsidP="0061135D">
            <w:pPr>
              <w:spacing w:after="0" w:line="240" w:lineRule="auto"/>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5 = Evaluación</w:t>
            </w:r>
          </w:p>
        </w:tc>
        <w:tc>
          <w:tcPr>
            <w:tcW w:w="4985" w:type="dxa"/>
            <w:tcBorders>
              <w:top w:val="single" w:sz="2" w:space="0" w:color="auto"/>
              <w:bottom w:val="single" w:sz="2" w:space="0" w:color="auto"/>
            </w:tcBorders>
          </w:tcPr>
          <w:p w14:paraId="125D2D3B" w14:textId="68CAFCD2" w:rsidR="005F5202" w:rsidRPr="00617DF3" w:rsidRDefault="00E82C80" w:rsidP="003C6959">
            <w:pPr>
              <w:spacing w:after="0" w:line="240" w:lineRule="auto"/>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 xml:space="preserve">5.1 </w:t>
            </w:r>
            <w:r w:rsidR="00961F08" w:rsidRPr="00617DF3">
              <w:rPr>
                <w:rFonts w:ascii="Times New Roman" w:eastAsia="Times New Roman" w:hAnsi="Times New Roman" w:cs="Times New Roman"/>
                <w:kern w:val="0"/>
                <w:sz w:val="24"/>
                <w:szCs w:val="24"/>
                <w:lang w:eastAsia="es-MX"/>
                <w14:ligatures w14:val="none"/>
              </w:rPr>
              <w:t xml:space="preserve">Priorizar soluciones </w:t>
            </w:r>
            <w:r w:rsidR="00833CA4" w:rsidRPr="00617DF3">
              <w:rPr>
                <w:rFonts w:ascii="Times New Roman" w:eastAsia="Times New Roman" w:hAnsi="Times New Roman" w:cs="Times New Roman"/>
                <w:kern w:val="0"/>
                <w:sz w:val="24"/>
                <w:szCs w:val="24"/>
                <w:lang w:eastAsia="es-MX"/>
                <w14:ligatures w14:val="none"/>
              </w:rPr>
              <w:t>c</w:t>
            </w:r>
            <w:r w:rsidR="00961F08" w:rsidRPr="00617DF3">
              <w:rPr>
                <w:rFonts w:ascii="Times New Roman" w:eastAsia="Times New Roman" w:hAnsi="Times New Roman" w:cs="Times New Roman"/>
                <w:kern w:val="0"/>
                <w:sz w:val="24"/>
                <w:szCs w:val="24"/>
                <w:lang w:eastAsia="es-MX"/>
                <w14:ligatures w14:val="none"/>
              </w:rPr>
              <w:t>on información</w:t>
            </w:r>
          </w:p>
          <w:p w14:paraId="4240689A" w14:textId="3715A6E9" w:rsidR="005F5202" w:rsidRPr="00617DF3" w:rsidRDefault="00E82C80" w:rsidP="003C6959">
            <w:pPr>
              <w:spacing w:after="0" w:line="240" w:lineRule="auto"/>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 xml:space="preserve">5.2 </w:t>
            </w:r>
            <w:r w:rsidR="005F5202" w:rsidRPr="00617DF3">
              <w:rPr>
                <w:rFonts w:ascii="Times New Roman" w:eastAsia="Times New Roman" w:hAnsi="Times New Roman" w:cs="Times New Roman"/>
                <w:kern w:val="0"/>
                <w:sz w:val="24"/>
                <w:szCs w:val="24"/>
                <w:lang w:eastAsia="es-MX"/>
                <w14:ligatures w14:val="none"/>
              </w:rPr>
              <w:t xml:space="preserve">Valorar la importancia del </w:t>
            </w:r>
            <w:proofErr w:type="spellStart"/>
            <w:r w:rsidR="005F5202" w:rsidRPr="00617DF3">
              <w:rPr>
                <w:rFonts w:ascii="Times New Roman" w:eastAsia="Times New Roman" w:hAnsi="Times New Roman" w:cs="Times New Roman"/>
                <w:kern w:val="0"/>
                <w:sz w:val="24"/>
                <w:szCs w:val="24"/>
                <w:lang w:eastAsia="es-MX"/>
                <w14:ligatures w14:val="none"/>
              </w:rPr>
              <w:t>neuroMKT</w:t>
            </w:r>
            <w:proofErr w:type="spellEnd"/>
          </w:p>
          <w:p w14:paraId="058A8B37" w14:textId="5BADDB11" w:rsidR="00CE331E" w:rsidRPr="00617DF3" w:rsidRDefault="00E82C80" w:rsidP="003C6959">
            <w:pPr>
              <w:spacing w:after="0" w:line="240" w:lineRule="auto"/>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 xml:space="preserve">5.3 </w:t>
            </w:r>
            <w:r w:rsidR="006F3858" w:rsidRPr="00617DF3">
              <w:rPr>
                <w:rFonts w:ascii="Times New Roman" w:eastAsia="Times New Roman" w:hAnsi="Times New Roman" w:cs="Times New Roman"/>
                <w:kern w:val="0"/>
                <w:sz w:val="24"/>
                <w:szCs w:val="24"/>
                <w:lang w:eastAsia="es-MX"/>
                <w14:ligatures w14:val="none"/>
              </w:rPr>
              <w:t xml:space="preserve">Tomar decisiones con uso del </w:t>
            </w:r>
            <w:proofErr w:type="spellStart"/>
            <w:r w:rsidR="006F3858" w:rsidRPr="00617DF3">
              <w:rPr>
                <w:rFonts w:ascii="Times New Roman" w:eastAsia="Times New Roman" w:hAnsi="Times New Roman" w:cs="Times New Roman"/>
                <w:kern w:val="0"/>
                <w:sz w:val="24"/>
                <w:szCs w:val="24"/>
                <w:lang w:eastAsia="es-MX"/>
                <w14:ligatures w14:val="none"/>
              </w:rPr>
              <w:t>neuroMKT</w:t>
            </w:r>
            <w:proofErr w:type="spellEnd"/>
          </w:p>
        </w:tc>
        <w:tc>
          <w:tcPr>
            <w:tcW w:w="748" w:type="dxa"/>
            <w:tcBorders>
              <w:top w:val="single" w:sz="2" w:space="0" w:color="auto"/>
              <w:bottom w:val="single" w:sz="2" w:space="0" w:color="auto"/>
            </w:tcBorders>
            <w:vAlign w:val="center"/>
          </w:tcPr>
          <w:p w14:paraId="0C08F934" w14:textId="6B92FA97" w:rsidR="008376F5" w:rsidRPr="00617DF3" w:rsidRDefault="00B15139" w:rsidP="003C6959">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0.74</w:t>
            </w:r>
          </w:p>
        </w:tc>
        <w:tc>
          <w:tcPr>
            <w:tcW w:w="749" w:type="dxa"/>
            <w:tcBorders>
              <w:top w:val="single" w:sz="2" w:space="0" w:color="auto"/>
              <w:left w:val="nil"/>
              <w:bottom w:val="single" w:sz="2" w:space="0" w:color="auto"/>
              <w:right w:val="nil"/>
            </w:tcBorders>
            <w:noWrap/>
            <w:vAlign w:val="center"/>
            <w:hideMark/>
          </w:tcPr>
          <w:p w14:paraId="4DC562F0" w14:textId="42BA9C3F" w:rsidR="008376F5" w:rsidRPr="00617DF3" w:rsidRDefault="008376F5" w:rsidP="0061135D">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6.15</w:t>
            </w:r>
          </w:p>
        </w:tc>
        <w:tc>
          <w:tcPr>
            <w:tcW w:w="749" w:type="dxa"/>
            <w:tcBorders>
              <w:top w:val="single" w:sz="2" w:space="0" w:color="auto"/>
              <w:left w:val="nil"/>
              <w:bottom w:val="single" w:sz="2" w:space="0" w:color="auto"/>
              <w:right w:val="nil"/>
            </w:tcBorders>
            <w:noWrap/>
            <w:vAlign w:val="center"/>
            <w:hideMark/>
          </w:tcPr>
          <w:p w14:paraId="287171B2" w14:textId="18B82CB9" w:rsidR="008376F5" w:rsidRPr="00617DF3" w:rsidRDefault="008376F5" w:rsidP="0061135D">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0.94</w:t>
            </w:r>
          </w:p>
        </w:tc>
      </w:tr>
      <w:tr w:rsidR="003C6959" w:rsidRPr="00617DF3" w14:paraId="4A447128" w14:textId="77777777" w:rsidTr="0002646D">
        <w:trPr>
          <w:trHeight w:val="293"/>
          <w:jc w:val="center"/>
        </w:trPr>
        <w:tc>
          <w:tcPr>
            <w:tcW w:w="2103" w:type="dxa"/>
            <w:tcBorders>
              <w:top w:val="single" w:sz="2" w:space="0" w:color="auto"/>
              <w:left w:val="nil"/>
              <w:bottom w:val="single" w:sz="2" w:space="0" w:color="auto"/>
              <w:right w:val="nil"/>
            </w:tcBorders>
            <w:noWrap/>
            <w:hideMark/>
          </w:tcPr>
          <w:p w14:paraId="269990A4" w14:textId="504CAA5B" w:rsidR="008376F5" w:rsidRPr="00617DF3" w:rsidRDefault="008376F5" w:rsidP="0061135D">
            <w:pPr>
              <w:spacing w:after="0" w:line="240" w:lineRule="auto"/>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6 = Creación</w:t>
            </w:r>
          </w:p>
        </w:tc>
        <w:tc>
          <w:tcPr>
            <w:tcW w:w="4985" w:type="dxa"/>
            <w:tcBorders>
              <w:top w:val="single" w:sz="2" w:space="0" w:color="auto"/>
              <w:bottom w:val="single" w:sz="2" w:space="0" w:color="auto"/>
            </w:tcBorders>
          </w:tcPr>
          <w:p w14:paraId="5A0BFE65" w14:textId="05B37D75" w:rsidR="008376F5" w:rsidRPr="00617DF3" w:rsidRDefault="00E82C80" w:rsidP="003C6959">
            <w:pPr>
              <w:spacing w:after="0" w:line="240" w:lineRule="auto"/>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 xml:space="preserve">6.1 </w:t>
            </w:r>
            <w:r w:rsidR="00792CB9" w:rsidRPr="00617DF3">
              <w:rPr>
                <w:rFonts w:ascii="Times New Roman" w:eastAsia="Times New Roman" w:hAnsi="Times New Roman" w:cs="Times New Roman"/>
                <w:kern w:val="0"/>
                <w:sz w:val="24"/>
                <w:szCs w:val="24"/>
                <w:lang w:eastAsia="es-MX"/>
                <w14:ligatures w14:val="none"/>
              </w:rPr>
              <w:t>Crear estrategias diferenciadoras</w:t>
            </w:r>
          </w:p>
          <w:p w14:paraId="184BD83B" w14:textId="2A289494" w:rsidR="00792CB9" w:rsidRPr="00617DF3" w:rsidRDefault="00E82C80" w:rsidP="003C6959">
            <w:pPr>
              <w:spacing w:after="0" w:line="240" w:lineRule="auto"/>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 xml:space="preserve">6.2 </w:t>
            </w:r>
            <w:r w:rsidR="0081280B" w:rsidRPr="00617DF3">
              <w:rPr>
                <w:rFonts w:ascii="Times New Roman" w:eastAsia="Times New Roman" w:hAnsi="Times New Roman" w:cs="Times New Roman"/>
                <w:kern w:val="0"/>
                <w:sz w:val="24"/>
                <w:szCs w:val="24"/>
                <w:lang w:eastAsia="es-MX"/>
                <w14:ligatures w14:val="none"/>
              </w:rPr>
              <w:t>Generación de</w:t>
            </w:r>
            <w:r w:rsidR="00792CB9" w:rsidRPr="00617DF3">
              <w:rPr>
                <w:rFonts w:ascii="Times New Roman" w:eastAsia="Times New Roman" w:hAnsi="Times New Roman" w:cs="Times New Roman"/>
                <w:kern w:val="0"/>
                <w:sz w:val="24"/>
                <w:szCs w:val="24"/>
                <w:lang w:eastAsia="es-MX"/>
                <w14:ligatures w14:val="none"/>
              </w:rPr>
              <w:t xml:space="preserve"> nuevas ideas</w:t>
            </w:r>
          </w:p>
          <w:p w14:paraId="3F61CC27" w14:textId="5321AE53" w:rsidR="00792CB9" w:rsidRPr="00617DF3" w:rsidRDefault="00E82C80" w:rsidP="0061135D">
            <w:pPr>
              <w:spacing w:after="0" w:line="240" w:lineRule="auto"/>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 xml:space="preserve">6.3 </w:t>
            </w:r>
            <w:r w:rsidR="0081280B" w:rsidRPr="00617DF3">
              <w:rPr>
                <w:rFonts w:ascii="Times New Roman" w:eastAsia="Times New Roman" w:hAnsi="Times New Roman" w:cs="Times New Roman"/>
                <w:kern w:val="0"/>
                <w:sz w:val="24"/>
                <w:szCs w:val="24"/>
                <w:lang w:eastAsia="es-MX"/>
                <w14:ligatures w14:val="none"/>
              </w:rPr>
              <w:t>C</w:t>
            </w:r>
            <w:r w:rsidR="00792CB9" w:rsidRPr="00617DF3">
              <w:rPr>
                <w:rFonts w:ascii="Times New Roman" w:eastAsia="Times New Roman" w:hAnsi="Times New Roman" w:cs="Times New Roman"/>
                <w:kern w:val="0"/>
                <w:sz w:val="24"/>
                <w:szCs w:val="24"/>
                <w:lang w:eastAsia="es-MX"/>
                <w14:ligatures w14:val="none"/>
              </w:rPr>
              <w:t>rea</w:t>
            </w:r>
            <w:r w:rsidR="0081280B" w:rsidRPr="00617DF3">
              <w:rPr>
                <w:rFonts w:ascii="Times New Roman" w:eastAsia="Times New Roman" w:hAnsi="Times New Roman" w:cs="Times New Roman"/>
                <w:kern w:val="0"/>
                <w:sz w:val="24"/>
                <w:szCs w:val="24"/>
                <w:lang w:eastAsia="es-MX"/>
                <w14:ligatures w14:val="none"/>
              </w:rPr>
              <w:t>r</w:t>
            </w:r>
            <w:r w:rsidR="00792CB9" w:rsidRPr="00617DF3">
              <w:rPr>
                <w:rFonts w:ascii="Times New Roman" w:eastAsia="Times New Roman" w:hAnsi="Times New Roman" w:cs="Times New Roman"/>
                <w:kern w:val="0"/>
                <w:sz w:val="24"/>
                <w:szCs w:val="24"/>
                <w:lang w:eastAsia="es-MX"/>
                <w14:ligatures w14:val="none"/>
              </w:rPr>
              <w:t xml:space="preserve"> soluciones de mercado</w:t>
            </w:r>
          </w:p>
        </w:tc>
        <w:tc>
          <w:tcPr>
            <w:tcW w:w="748" w:type="dxa"/>
            <w:tcBorders>
              <w:top w:val="single" w:sz="2" w:space="0" w:color="auto"/>
              <w:bottom w:val="single" w:sz="2" w:space="0" w:color="auto"/>
            </w:tcBorders>
            <w:vAlign w:val="center"/>
          </w:tcPr>
          <w:p w14:paraId="0DE655BB" w14:textId="4478D5C9" w:rsidR="008376F5" w:rsidRPr="00617DF3" w:rsidRDefault="00B15139" w:rsidP="003C6959">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0.74</w:t>
            </w:r>
          </w:p>
        </w:tc>
        <w:tc>
          <w:tcPr>
            <w:tcW w:w="749" w:type="dxa"/>
            <w:tcBorders>
              <w:top w:val="single" w:sz="2" w:space="0" w:color="auto"/>
              <w:left w:val="nil"/>
              <w:bottom w:val="single" w:sz="2" w:space="0" w:color="auto"/>
              <w:right w:val="nil"/>
            </w:tcBorders>
            <w:noWrap/>
            <w:vAlign w:val="center"/>
            <w:hideMark/>
          </w:tcPr>
          <w:p w14:paraId="6C4EACC8" w14:textId="133FB3ED" w:rsidR="008376F5" w:rsidRPr="00617DF3" w:rsidRDefault="008376F5" w:rsidP="003C6959">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6.16</w:t>
            </w:r>
          </w:p>
        </w:tc>
        <w:tc>
          <w:tcPr>
            <w:tcW w:w="749" w:type="dxa"/>
            <w:tcBorders>
              <w:top w:val="single" w:sz="2" w:space="0" w:color="auto"/>
              <w:left w:val="nil"/>
              <w:bottom w:val="single" w:sz="2" w:space="0" w:color="auto"/>
              <w:right w:val="nil"/>
            </w:tcBorders>
            <w:noWrap/>
            <w:vAlign w:val="center"/>
            <w:hideMark/>
          </w:tcPr>
          <w:p w14:paraId="21476041" w14:textId="13357405" w:rsidR="008376F5" w:rsidRPr="00617DF3" w:rsidRDefault="008376F5" w:rsidP="0061135D">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0.90</w:t>
            </w:r>
          </w:p>
        </w:tc>
      </w:tr>
    </w:tbl>
    <w:p w14:paraId="3C0409A0" w14:textId="5DAE4D45" w:rsidR="003A33DC" w:rsidRPr="00617DF3" w:rsidRDefault="003A33DC" w:rsidP="003C6959">
      <w:pPr>
        <w:spacing w:after="0" w:line="240" w:lineRule="auto"/>
        <w:rPr>
          <w:rFonts w:ascii="Times New Roman" w:hAnsi="Times New Roman" w:cs="Times New Roman"/>
          <w:sz w:val="24"/>
          <w:szCs w:val="24"/>
        </w:rPr>
      </w:pPr>
      <w:r w:rsidRPr="00617DF3">
        <w:rPr>
          <w:rFonts w:ascii="Times New Roman" w:hAnsi="Times New Roman" w:cs="Times New Roman"/>
          <w:sz w:val="24"/>
          <w:szCs w:val="24"/>
        </w:rPr>
        <w:t>*Escala de Likert 1-7</w:t>
      </w:r>
    </w:p>
    <w:p w14:paraId="1D1552EC" w14:textId="6311C6C9" w:rsidR="000D464A" w:rsidRPr="0061135D" w:rsidRDefault="00B8798F" w:rsidP="003C6959">
      <w:pPr>
        <w:spacing w:after="0" w:line="240" w:lineRule="auto"/>
        <w:jc w:val="center"/>
        <w:rPr>
          <w:rFonts w:ascii="Times New Roman" w:hAnsi="Times New Roman" w:cs="Times New Roman"/>
          <w:sz w:val="24"/>
          <w:szCs w:val="24"/>
        </w:rPr>
      </w:pPr>
      <w:r w:rsidRPr="0061135D">
        <w:rPr>
          <w:rFonts w:ascii="Times New Roman" w:hAnsi="Times New Roman" w:cs="Times New Roman"/>
          <w:sz w:val="24"/>
          <w:szCs w:val="24"/>
        </w:rPr>
        <w:t xml:space="preserve">Fuente: </w:t>
      </w:r>
      <w:r w:rsidR="00055013" w:rsidRPr="0061135D">
        <w:rPr>
          <w:rFonts w:ascii="Times New Roman" w:hAnsi="Times New Roman" w:cs="Times New Roman"/>
          <w:sz w:val="24"/>
          <w:szCs w:val="24"/>
        </w:rPr>
        <w:t>Elaboración propia</w:t>
      </w:r>
    </w:p>
    <w:p w14:paraId="41A98C36" w14:textId="77777777" w:rsidR="00C64EE6" w:rsidRPr="0061135D" w:rsidRDefault="00C64EE6" w:rsidP="003C6959">
      <w:pPr>
        <w:spacing w:after="0" w:line="240" w:lineRule="auto"/>
        <w:jc w:val="both"/>
        <w:rPr>
          <w:rFonts w:ascii="Times New Roman" w:hAnsi="Times New Roman" w:cs="Times New Roman"/>
          <w:sz w:val="24"/>
          <w:szCs w:val="24"/>
        </w:rPr>
      </w:pPr>
    </w:p>
    <w:p w14:paraId="19F3430D" w14:textId="0CED495D" w:rsidR="00164502" w:rsidRPr="00617DF3" w:rsidRDefault="0048634B" w:rsidP="003C6959">
      <w:pPr>
        <w:spacing w:after="0" w:line="240" w:lineRule="auto"/>
        <w:jc w:val="both"/>
        <w:rPr>
          <w:rFonts w:ascii="Times New Roman" w:hAnsi="Times New Roman" w:cs="Times New Roman"/>
          <w:sz w:val="24"/>
          <w:szCs w:val="24"/>
        </w:rPr>
      </w:pPr>
      <w:r w:rsidRPr="00617DF3">
        <w:rPr>
          <w:rFonts w:ascii="Times New Roman" w:hAnsi="Times New Roman" w:cs="Times New Roman"/>
          <w:sz w:val="24"/>
          <w:szCs w:val="24"/>
        </w:rPr>
        <w:t xml:space="preserve">Para ilustrar estos hallazgos, la Figura 1 </w:t>
      </w:r>
      <w:r w:rsidR="007845D4" w:rsidRPr="00617DF3">
        <w:rPr>
          <w:rFonts w:ascii="Times New Roman" w:hAnsi="Times New Roman" w:cs="Times New Roman"/>
          <w:sz w:val="24"/>
          <w:szCs w:val="24"/>
        </w:rPr>
        <w:t>muestra las medias</w:t>
      </w:r>
      <w:r w:rsidRPr="00617DF3">
        <w:rPr>
          <w:rFonts w:ascii="Times New Roman" w:hAnsi="Times New Roman" w:cs="Times New Roman"/>
          <w:sz w:val="24"/>
          <w:szCs w:val="24"/>
        </w:rPr>
        <w:t xml:space="preserve"> </w:t>
      </w:r>
      <w:r w:rsidR="007845D4" w:rsidRPr="00617DF3">
        <w:rPr>
          <w:rFonts w:ascii="Times New Roman" w:hAnsi="Times New Roman" w:cs="Times New Roman"/>
          <w:sz w:val="24"/>
          <w:szCs w:val="24"/>
        </w:rPr>
        <w:t>e</w:t>
      </w:r>
      <w:r w:rsidRPr="00617DF3">
        <w:rPr>
          <w:rFonts w:ascii="Times New Roman" w:hAnsi="Times New Roman" w:cs="Times New Roman"/>
          <w:sz w:val="24"/>
          <w:szCs w:val="24"/>
        </w:rPr>
        <w:t>n los niveles de</w:t>
      </w:r>
      <w:r w:rsidR="00AE0A82" w:rsidRPr="00617DF3">
        <w:rPr>
          <w:rFonts w:ascii="Times New Roman" w:hAnsi="Times New Roman" w:cs="Times New Roman"/>
          <w:sz w:val="24"/>
          <w:szCs w:val="24"/>
        </w:rPr>
        <w:t xml:space="preserve"> la taxonomía de</w:t>
      </w:r>
      <w:r w:rsidRPr="00617DF3">
        <w:rPr>
          <w:rFonts w:ascii="Times New Roman" w:hAnsi="Times New Roman" w:cs="Times New Roman"/>
          <w:sz w:val="24"/>
          <w:szCs w:val="24"/>
        </w:rPr>
        <w:t xml:space="preserve"> Bloom</w:t>
      </w:r>
      <w:r w:rsidR="00EF742C" w:rsidRPr="00617DF3">
        <w:rPr>
          <w:rFonts w:ascii="Times New Roman" w:hAnsi="Times New Roman" w:cs="Times New Roman"/>
          <w:sz w:val="24"/>
          <w:szCs w:val="24"/>
        </w:rPr>
        <w:t xml:space="preserve"> y la desviació</w:t>
      </w:r>
      <w:r w:rsidR="007845D4" w:rsidRPr="00617DF3">
        <w:rPr>
          <w:rFonts w:ascii="Times New Roman" w:hAnsi="Times New Roman" w:cs="Times New Roman"/>
          <w:sz w:val="24"/>
          <w:szCs w:val="24"/>
        </w:rPr>
        <w:t>n en el error</w:t>
      </w:r>
      <w:r w:rsidRPr="00617DF3">
        <w:rPr>
          <w:rFonts w:ascii="Times New Roman" w:hAnsi="Times New Roman" w:cs="Times New Roman"/>
          <w:sz w:val="24"/>
          <w:szCs w:val="24"/>
        </w:rPr>
        <w:t xml:space="preserve">. </w:t>
      </w:r>
      <w:r w:rsidR="005B427A" w:rsidRPr="00617DF3">
        <w:rPr>
          <w:rFonts w:ascii="Times New Roman" w:hAnsi="Times New Roman" w:cs="Times New Roman"/>
          <w:sz w:val="24"/>
          <w:szCs w:val="24"/>
        </w:rPr>
        <w:t>La evidencia muestra un aumento sistemático en los niveles superiores de la taxonomía (</w:t>
      </w:r>
      <w:r w:rsidR="00F90E11" w:rsidRPr="00617DF3">
        <w:rPr>
          <w:rFonts w:ascii="Times New Roman" w:hAnsi="Times New Roman" w:cs="Times New Roman"/>
          <w:sz w:val="24"/>
          <w:szCs w:val="24"/>
        </w:rPr>
        <w:t xml:space="preserve">Análisis, Evaluación </w:t>
      </w:r>
      <w:r w:rsidR="00F20817" w:rsidRPr="00617DF3">
        <w:rPr>
          <w:rFonts w:ascii="Times New Roman" w:hAnsi="Times New Roman" w:cs="Times New Roman"/>
          <w:sz w:val="24"/>
          <w:szCs w:val="24"/>
        </w:rPr>
        <w:t>y</w:t>
      </w:r>
      <w:r w:rsidR="00F90E11" w:rsidRPr="00617DF3">
        <w:rPr>
          <w:rFonts w:ascii="Times New Roman" w:hAnsi="Times New Roman" w:cs="Times New Roman"/>
          <w:sz w:val="24"/>
          <w:szCs w:val="24"/>
        </w:rPr>
        <w:t xml:space="preserve"> Creación</w:t>
      </w:r>
      <w:r w:rsidR="005B427A" w:rsidRPr="00617DF3">
        <w:rPr>
          <w:rFonts w:ascii="Times New Roman" w:hAnsi="Times New Roman" w:cs="Times New Roman"/>
          <w:sz w:val="24"/>
          <w:szCs w:val="24"/>
        </w:rPr>
        <w:t>), coherente con el patrón observado en las medias y las comparaciones pareadas.</w:t>
      </w:r>
      <w:r w:rsidR="004A2E50" w:rsidRPr="00617DF3">
        <w:rPr>
          <w:rFonts w:ascii="Times New Roman" w:hAnsi="Times New Roman" w:cs="Times New Roman"/>
          <w:sz w:val="24"/>
          <w:szCs w:val="24"/>
        </w:rPr>
        <w:t xml:space="preserve"> En consecuencia, los hallazgos confirman la utilidad de la taxonomía de Bloom para analizar la progresión de habilidades cognitivas.</w:t>
      </w:r>
    </w:p>
    <w:p w14:paraId="1E3B7DB9" w14:textId="77777777" w:rsidR="0048634B" w:rsidRPr="00617DF3" w:rsidRDefault="0048634B" w:rsidP="003C6959">
      <w:pPr>
        <w:spacing w:after="0" w:line="240" w:lineRule="auto"/>
        <w:jc w:val="both"/>
        <w:rPr>
          <w:rFonts w:ascii="Times New Roman" w:hAnsi="Times New Roman" w:cs="Times New Roman"/>
          <w:sz w:val="24"/>
          <w:szCs w:val="24"/>
        </w:rPr>
      </w:pPr>
    </w:p>
    <w:p w14:paraId="1DB8D26E" w14:textId="1E3B97F2" w:rsidR="00B7358D" w:rsidRPr="00617DF3" w:rsidRDefault="00B7358D" w:rsidP="003C6959">
      <w:pPr>
        <w:pStyle w:val="Descripcin"/>
        <w:keepNext/>
        <w:spacing w:after="0"/>
        <w:jc w:val="center"/>
        <w:rPr>
          <w:rFonts w:ascii="Times New Roman" w:hAnsi="Times New Roman" w:cs="Times New Roman"/>
          <w:i w:val="0"/>
          <w:iCs w:val="0"/>
          <w:color w:val="auto"/>
          <w:sz w:val="24"/>
          <w:szCs w:val="24"/>
        </w:rPr>
      </w:pPr>
      <w:r w:rsidRPr="0061135D">
        <w:rPr>
          <w:rFonts w:ascii="Times New Roman" w:hAnsi="Times New Roman" w:cs="Times New Roman"/>
          <w:b/>
          <w:i w:val="0"/>
          <w:color w:val="auto"/>
          <w:sz w:val="24"/>
          <w:szCs w:val="24"/>
        </w:rPr>
        <w:t xml:space="preserve">Figura </w:t>
      </w:r>
      <w:r w:rsidRPr="0061135D">
        <w:rPr>
          <w:rFonts w:ascii="Times New Roman" w:hAnsi="Times New Roman" w:cs="Times New Roman"/>
          <w:b/>
          <w:i w:val="0"/>
          <w:color w:val="auto"/>
          <w:sz w:val="24"/>
          <w:szCs w:val="24"/>
        </w:rPr>
        <w:fldChar w:fldCharType="begin"/>
      </w:r>
      <w:r w:rsidRPr="0061135D">
        <w:rPr>
          <w:rFonts w:ascii="Times New Roman" w:hAnsi="Times New Roman" w:cs="Times New Roman"/>
          <w:b/>
          <w:i w:val="0"/>
          <w:color w:val="auto"/>
          <w:sz w:val="24"/>
          <w:szCs w:val="24"/>
        </w:rPr>
        <w:instrText xml:space="preserve"> SEQ Figura \* ARABIC </w:instrText>
      </w:r>
      <w:r w:rsidRPr="0061135D">
        <w:rPr>
          <w:rFonts w:ascii="Times New Roman" w:hAnsi="Times New Roman" w:cs="Times New Roman"/>
          <w:b/>
          <w:i w:val="0"/>
          <w:color w:val="auto"/>
          <w:sz w:val="24"/>
          <w:szCs w:val="24"/>
        </w:rPr>
        <w:fldChar w:fldCharType="separate"/>
      </w:r>
      <w:r w:rsidR="00707A83">
        <w:rPr>
          <w:rFonts w:ascii="Times New Roman" w:hAnsi="Times New Roman" w:cs="Times New Roman"/>
          <w:b/>
          <w:i w:val="0"/>
          <w:noProof/>
          <w:color w:val="auto"/>
          <w:sz w:val="24"/>
          <w:szCs w:val="24"/>
        </w:rPr>
        <w:t>1</w:t>
      </w:r>
      <w:r w:rsidRPr="0061135D">
        <w:rPr>
          <w:rFonts w:ascii="Times New Roman" w:hAnsi="Times New Roman" w:cs="Times New Roman"/>
          <w:b/>
          <w:i w:val="0"/>
          <w:color w:val="auto"/>
          <w:sz w:val="24"/>
          <w:szCs w:val="24"/>
        </w:rPr>
        <w:fldChar w:fldCharType="end"/>
      </w:r>
      <w:r w:rsidR="00B6273A" w:rsidRPr="0061135D">
        <w:rPr>
          <w:rFonts w:ascii="Times New Roman" w:hAnsi="Times New Roman" w:cs="Times New Roman"/>
          <w:b/>
          <w:i w:val="0"/>
          <w:color w:val="auto"/>
          <w:sz w:val="24"/>
          <w:szCs w:val="24"/>
        </w:rPr>
        <w:t>.</w:t>
      </w:r>
      <w:r w:rsidR="00B6273A" w:rsidRPr="00617DF3">
        <w:rPr>
          <w:rFonts w:ascii="Times New Roman" w:hAnsi="Times New Roman" w:cs="Times New Roman"/>
          <w:i w:val="0"/>
          <w:iCs w:val="0"/>
          <w:color w:val="auto"/>
          <w:sz w:val="24"/>
          <w:szCs w:val="24"/>
        </w:rPr>
        <w:t xml:space="preserve"> </w:t>
      </w:r>
      <w:r w:rsidR="00DC20AC" w:rsidRPr="00617DF3">
        <w:rPr>
          <w:rFonts w:ascii="Times New Roman" w:hAnsi="Times New Roman" w:cs="Times New Roman"/>
          <w:i w:val="0"/>
          <w:iCs w:val="0"/>
          <w:color w:val="auto"/>
          <w:sz w:val="24"/>
          <w:szCs w:val="24"/>
        </w:rPr>
        <w:t>Medias por nivel de la taxonomía de Bloom (</w:t>
      </w:r>
      <w:r w:rsidR="00DC20AC" w:rsidRPr="00617DF3">
        <w:rPr>
          <w:rFonts w:ascii="Times New Roman" w:hAnsi="Times New Roman" w:cs="Times New Roman"/>
          <w:color w:val="auto"/>
          <w:sz w:val="24"/>
          <w:szCs w:val="24"/>
        </w:rPr>
        <w:t>N</w:t>
      </w:r>
      <w:r w:rsidR="00DC20AC" w:rsidRPr="00617DF3">
        <w:rPr>
          <w:rFonts w:ascii="Times New Roman" w:hAnsi="Times New Roman" w:cs="Times New Roman"/>
          <w:i w:val="0"/>
          <w:iCs w:val="0"/>
          <w:color w:val="auto"/>
          <w:sz w:val="24"/>
          <w:szCs w:val="24"/>
        </w:rPr>
        <w:t xml:space="preserve"> = 106)</w:t>
      </w:r>
    </w:p>
    <w:p w14:paraId="35804ED5" w14:textId="6E08C302" w:rsidR="0021418E" w:rsidRPr="00617DF3" w:rsidRDefault="00875385" w:rsidP="003C6959">
      <w:pPr>
        <w:spacing w:after="0" w:line="240" w:lineRule="auto"/>
        <w:jc w:val="center"/>
        <w:rPr>
          <w:rFonts w:ascii="Times New Roman" w:hAnsi="Times New Roman" w:cs="Times New Roman"/>
          <w:sz w:val="24"/>
          <w:szCs w:val="24"/>
          <w:lang w:val="en-US"/>
        </w:rPr>
      </w:pPr>
      <w:r w:rsidRPr="00617DF3">
        <w:rPr>
          <w:rFonts w:ascii="Times New Roman" w:hAnsi="Times New Roman" w:cs="Times New Roman"/>
          <w:noProof/>
          <w:sz w:val="24"/>
          <w:szCs w:val="24"/>
          <w:lang w:eastAsia="es-MX"/>
        </w:rPr>
        <w:drawing>
          <wp:inline distT="0" distB="0" distL="0" distR="0" wp14:anchorId="612E1C6F" wp14:editId="2748FFA5">
            <wp:extent cx="5384800" cy="3048000"/>
            <wp:effectExtent l="0" t="0" r="6350" b="0"/>
            <wp:docPr id="1830406130" name="Gráfico 1">
              <a:extLst xmlns:a="http://schemas.openxmlformats.org/drawingml/2006/main">
                <a:ext uri="{FF2B5EF4-FFF2-40B4-BE49-F238E27FC236}">
                  <a16:creationId xmlns:a16="http://schemas.microsoft.com/office/drawing/2014/main" id="{1E177E44-C36F-A11F-9758-E49E3D131D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C7B8796" w14:textId="33F7483D" w:rsidR="001B4FFB" w:rsidRPr="00617DF3" w:rsidRDefault="00E91FE7" w:rsidP="003C6959">
      <w:pPr>
        <w:spacing w:after="0" w:line="240" w:lineRule="auto"/>
        <w:ind w:firstLine="708"/>
        <w:rPr>
          <w:rFonts w:ascii="Times New Roman" w:hAnsi="Times New Roman" w:cs="Times New Roman"/>
          <w:b/>
          <w:bCs/>
          <w:sz w:val="24"/>
          <w:szCs w:val="24"/>
        </w:rPr>
      </w:pPr>
      <w:r w:rsidRPr="00617DF3">
        <w:rPr>
          <w:rFonts w:ascii="Times New Roman" w:hAnsi="Times New Roman" w:cs="Times New Roman"/>
          <w:sz w:val="24"/>
          <w:szCs w:val="24"/>
        </w:rPr>
        <w:t>Nota: mayor puntuación = mayor nivel percibido.</w:t>
      </w:r>
    </w:p>
    <w:p w14:paraId="69F01458" w14:textId="4DAF6326" w:rsidR="00654CE0" w:rsidRPr="00617DF3" w:rsidRDefault="00654CE0" w:rsidP="003C6959">
      <w:pPr>
        <w:spacing w:after="0" w:line="240" w:lineRule="auto"/>
        <w:jc w:val="center"/>
        <w:rPr>
          <w:rFonts w:ascii="Times New Roman" w:hAnsi="Times New Roman" w:cs="Times New Roman"/>
          <w:sz w:val="24"/>
          <w:szCs w:val="24"/>
        </w:rPr>
      </w:pPr>
      <w:r w:rsidRPr="0061135D">
        <w:rPr>
          <w:rFonts w:ascii="Times New Roman" w:hAnsi="Times New Roman" w:cs="Times New Roman"/>
          <w:sz w:val="24"/>
          <w:szCs w:val="24"/>
        </w:rPr>
        <w:t>Fuente:</w:t>
      </w:r>
      <w:r w:rsidRPr="00617DF3">
        <w:rPr>
          <w:rFonts w:ascii="Times New Roman" w:hAnsi="Times New Roman" w:cs="Times New Roman"/>
          <w:sz w:val="24"/>
          <w:szCs w:val="24"/>
        </w:rPr>
        <w:t xml:space="preserve"> </w:t>
      </w:r>
      <w:r w:rsidR="00055013" w:rsidRPr="00617DF3">
        <w:rPr>
          <w:rFonts w:ascii="Times New Roman" w:hAnsi="Times New Roman" w:cs="Times New Roman"/>
          <w:sz w:val="24"/>
          <w:szCs w:val="24"/>
        </w:rPr>
        <w:t>Elaboración</w:t>
      </w:r>
      <w:r w:rsidRPr="00617DF3">
        <w:rPr>
          <w:rFonts w:ascii="Times New Roman" w:hAnsi="Times New Roman" w:cs="Times New Roman"/>
          <w:sz w:val="24"/>
          <w:szCs w:val="24"/>
        </w:rPr>
        <w:t xml:space="preserve"> propi</w:t>
      </w:r>
      <w:r w:rsidR="00055013" w:rsidRPr="00617DF3">
        <w:rPr>
          <w:rFonts w:ascii="Times New Roman" w:hAnsi="Times New Roman" w:cs="Times New Roman"/>
          <w:sz w:val="24"/>
          <w:szCs w:val="24"/>
        </w:rPr>
        <w:t>a</w:t>
      </w:r>
    </w:p>
    <w:p w14:paraId="43298509" w14:textId="5D2184CA" w:rsidR="009E40AD" w:rsidRPr="00617DF3" w:rsidRDefault="009E40AD" w:rsidP="003C6959">
      <w:pPr>
        <w:spacing w:after="0" w:line="240" w:lineRule="auto"/>
        <w:jc w:val="center"/>
        <w:rPr>
          <w:rFonts w:ascii="Times New Roman" w:hAnsi="Times New Roman" w:cs="Times New Roman"/>
          <w:sz w:val="24"/>
          <w:szCs w:val="24"/>
        </w:rPr>
      </w:pPr>
    </w:p>
    <w:p w14:paraId="58FFC203" w14:textId="665B310A" w:rsidR="00EB27CB" w:rsidRPr="0061135D" w:rsidRDefault="00EA2C00" w:rsidP="003C6959">
      <w:pPr>
        <w:spacing w:after="0" w:line="240" w:lineRule="auto"/>
        <w:jc w:val="both"/>
        <w:rPr>
          <w:rFonts w:ascii="Times New Roman" w:hAnsi="Times New Roman" w:cs="Times New Roman"/>
          <w:sz w:val="24"/>
          <w:szCs w:val="24"/>
          <w:lang w:val="es-ES"/>
        </w:rPr>
      </w:pPr>
      <w:r w:rsidRPr="00617DF3">
        <w:rPr>
          <w:rFonts w:ascii="Times New Roman" w:hAnsi="Times New Roman" w:cs="Times New Roman"/>
          <w:sz w:val="24"/>
          <w:szCs w:val="24"/>
          <w:lang w:val="es-ES"/>
        </w:rPr>
        <w:t>Los resul</w:t>
      </w:r>
      <w:r w:rsidR="00EE213D" w:rsidRPr="00617DF3">
        <w:rPr>
          <w:rFonts w:ascii="Times New Roman" w:hAnsi="Times New Roman" w:cs="Times New Roman"/>
          <w:sz w:val="24"/>
          <w:szCs w:val="24"/>
          <w:lang w:val="es-ES"/>
        </w:rPr>
        <w:t xml:space="preserve">tados de </w:t>
      </w:r>
      <w:r w:rsidR="001C43CB" w:rsidRPr="0061135D">
        <w:rPr>
          <w:rFonts w:ascii="Times New Roman" w:hAnsi="Times New Roman" w:cs="Times New Roman"/>
          <w:sz w:val="24"/>
          <w:szCs w:val="24"/>
          <w:lang w:val="es-ES"/>
        </w:rPr>
        <w:t>ANOVA de medi</w:t>
      </w:r>
      <w:r w:rsidR="001C43CB" w:rsidRPr="00617DF3">
        <w:rPr>
          <w:rFonts w:ascii="Times New Roman" w:hAnsi="Times New Roman" w:cs="Times New Roman"/>
          <w:sz w:val="24"/>
          <w:szCs w:val="24"/>
          <w:lang w:val="es-ES"/>
        </w:rPr>
        <w:t>d</w:t>
      </w:r>
      <w:r w:rsidR="001C43CB" w:rsidRPr="0061135D">
        <w:rPr>
          <w:rFonts w:ascii="Times New Roman" w:hAnsi="Times New Roman" w:cs="Times New Roman"/>
          <w:sz w:val="24"/>
          <w:szCs w:val="24"/>
          <w:lang w:val="es-ES"/>
        </w:rPr>
        <w:t xml:space="preserve">as repetidas </w:t>
      </w:r>
      <w:r w:rsidR="001C43CB" w:rsidRPr="00617DF3">
        <w:rPr>
          <w:rFonts w:ascii="Times New Roman" w:hAnsi="Times New Roman" w:cs="Times New Roman"/>
          <w:sz w:val="24"/>
          <w:szCs w:val="24"/>
          <w:lang w:val="es-ES"/>
        </w:rPr>
        <w:t xml:space="preserve">con corrección de </w:t>
      </w:r>
      <w:proofErr w:type="spellStart"/>
      <w:r w:rsidR="001C43CB" w:rsidRPr="00617DF3">
        <w:rPr>
          <w:rFonts w:ascii="Times New Roman" w:hAnsi="Times New Roman" w:cs="Times New Roman"/>
          <w:sz w:val="24"/>
          <w:szCs w:val="24"/>
          <w:lang w:val="es-ES"/>
        </w:rPr>
        <w:t>Greenhouse</w:t>
      </w:r>
      <w:proofErr w:type="spellEnd"/>
      <w:r w:rsidR="001C43CB" w:rsidRPr="00617DF3">
        <w:rPr>
          <w:rFonts w:ascii="Times New Roman" w:hAnsi="Times New Roman" w:cs="Times New Roman"/>
          <w:sz w:val="24"/>
          <w:szCs w:val="24"/>
          <w:lang w:val="es-ES"/>
        </w:rPr>
        <w:t>–</w:t>
      </w:r>
      <w:proofErr w:type="spellStart"/>
      <w:r w:rsidR="001C43CB" w:rsidRPr="00617DF3">
        <w:rPr>
          <w:rFonts w:ascii="Times New Roman" w:hAnsi="Times New Roman" w:cs="Times New Roman"/>
          <w:sz w:val="24"/>
          <w:szCs w:val="24"/>
          <w:lang w:val="es-ES"/>
        </w:rPr>
        <w:t>Geisser</w:t>
      </w:r>
      <w:proofErr w:type="spellEnd"/>
      <w:r w:rsidR="00EE213D" w:rsidRPr="00617DF3">
        <w:rPr>
          <w:rFonts w:ascii="Times New Roman" w:hAnsi="Times New Roman" w:cs="Times New Roman"/>
          <w:sz w:val="24"/>
          <w:szCs w:val="24"/>
          <w:lang w:val="es-ES"/>
        </w:rPr>
        <w:t xml:space="preserve"> son</w:t>
      </w:r>
      <w:r w:rsidR="001C43CB" w:rsidRPr="00617DF3">
        <w:rPr>
          <w:rFonts w:ascii="Times New Roman" w:hAnsi="Times New Roman" w:cs="Times New Roman"/>
          <w:sz w:val="24"/>
          <w:szCs w:val="24"/>
          <w:lang w:val="es-ES"/>
        </w:rPr>
        <w:t>:</w:t>
      </w:r>
      <w:r w:rsidR="001C43CB" w:rsidRPr="0061135D">
        <w:rPr>
          <w:rFonts w:ascii="Times New Roman" w:hAnsi="Times New Roman" w:cs="Times New Roman"/>
          <w:sz w:val="24"/>
          <w:szCs w:val="24"/>
          <w:lang w:val="es-ES"/>
        </w:rPr>
        <w:t xml:space="preserve"> </w:t>
      </w:r>
      <w:proofErr w:type="gramStart"/>
      <w:r w:rsidR="001C43CB" w:rsidRPr="0061135D">
        <w:rPr>
          <w:rFonts w:ascii="Times New Roman" w:hAnsi="Times New Roman" w:cs="Times New Roman"/>
          <w:i/>
          <w:sz w:val="24"/>
          <w:szCs w:val="24"/>
          <w:lang w:val="es-ES"/>
        </w:rPr>
        <w:t>F</w:t>
      </w:r>
      <w:r w:rsidR="001C43CB" w:rsidRPr="0061135D">
        <w:rPr>
          <w:rFonts w:ascii="Times New Roman" w:hAnsi="Times New Roman" w:cs="Times New Roman"/>
          <w:sz w:val="24"/>
          <w:szCs w:val="24"/>
          <w:lang w:val="es-ES"/>
        </w:rPr>
        <w:t>(</w:t>
      </w:r>
      <w:proofErr w:type="gramEnd"/>
      <w:r w:rsidR="001C43CB" w:rsidRPr="0061135D">
        <w:rPr>
          <w:rFonts w:ascii="Times New Roman" w:hAnsi="Times New Roman" w:cs="Times New Roman"/>
          <w:sz w:val="24"/>
          <w:szCs w:val="24"/>
          <w:lang w:val="es-ES"/>
        </w:rPr>
        <w:t>2</w:t>
      </w:r>
      <w:r w:rsidR="00FE4AF4" w:rsidRPr="0061135D">
        <w:rPr>
          <w:rFonts w:ascii="Times New Roman" w:hAnsi="Times New Roman" w:cs="Times New Roman"/>
          <w:sz w:val="24"/>
          <w:szCs w:val="24"/>
          <w:lang w:val="es-ES"/>
        </w:rPr>
        <w:t>.</w:t>
      </w:r>
      <w:r w:rsidR="001C43CB" w:rsidRPr="0061135D">
        <w:rPr>
          <w:rFonts w:ascii="Times New Roman" w:hAnsi="Times New Roman" w:cs="Times New Roman"/>
          <w:sz w:val="24"/>
          <w:szCs w:val="24"/>
          <w:lang w:val="es-ES"/>
        </w:rPr>
        <w:t>79, 292</w:t>
      </w:r>
      <w:r w:rsidR="00FE4AF4" w:rsidRPr="0061135D">
        <w:rPr>
          <w:rFonts w:ascii="Times New Roman" w:hAnsi="Times New Roman" w:cs="Times New Roman"/>
          <w:sz w:val="24"/>
          <w:szCs w:val="24"/>
          <w:lang w:val="es-ES"/>
        </w:rPr>
        <w:t>.</w:t>
      </w:r>
      <w:r w:rsidR="001C43CB" w:rsidRPr="0061135D">
        <w:rPr>
          <w:rFonts w:ascii="Times New Roman" w:hAnsi="Times New Roman" w:cs="Times New Roman"/>
          <w:sz w:val="24"/>
          <w:szCs w:val="24"/>
          <w:lang w:val="es-ES"/>
        </w:rPr>
        <w:t>50) = 18</w:t>
      </w:r>
      <w:r w:rsidR="00FE4AF4" w:rsidRPr="0061135D">
        <w:rPr>
          <w:rFonts w:ascii="Times New Roman" w:hAnsi="Times New Roman" w:cs="Times New Roman"/>
          <w:sz w:val="24"/>
          <w:szCs w:val="24"/>
          <w:lang w:val="es-ES"/>
        </w:rPr>
        <w:t>.</w:t>
      </w:r>
      <w:r w:rsidR="001C43CB" w:rsidRPr="0061135D">
        <w:rPr>
          <w:rFonts w:ascii="Times New Roman" w:hAnsi="Times New Roman" w:cs="Times New Roman"/>
          <w:sz w:val="24"/>
          <w:szCs w:val="24"/>
          <w:lang w:val="es-ES"/>
        </w:rPr>
        <w:t xml:space="preserve">28, </w:t>
      </w:r>
      <w:r w:rsidR="001C43CB" w:rsidRPr="0061135D">
        <w:rPr>
          <w:rFonts w:ascii="Times New Roman" w:hAnsi="Times New Roman" w:cs="Times New Roman"/>
          <w:i/>
          <w:sz w:val="24"/>
          <w:szCs w:val="24"/>
          <w:lang w:val="es-ES"/>
        </w:rPr>
        <w:t>p</w:t>
      </w:r>
      <w:r w:rsidR="001C43CB" w:rsidRPr="0061135D">
        <w:rPr>
          <w:rFonts w:ascii="Times New Roman" w:hAnsi="Times New Roman" w:cs="Times New Roman"/>
          <w:sz w:val="24"/>
          <w:szCs w:val="24"/>
          <w:lang w:val="es-ES"/>
        </w:rPr>
        <w:t xml:space="preserve"> &lt; </w:t>
      </w:r>
      <w:r w:rsidR="001C43CB" w:rsidRPr="00617DF3">
        <w:rPr>
          <w:rFonts w:ascii="Times New Roman" w:hAnsi="Times New Roman" w:cs="Times New Roman"/>
          <w:sz w:val="24"/>
          <w:szCs w:val="24"/>
          <w:lang w:val="es-ES"/>
        </w:rPr>
        <w:t>0</w:t>
      </w:r>
      <w:r w:rsidR="00FE4AF4" w:rsidRPr="0061135D">
        <w:rPr>
          <w:rFonts w:ascii="Times New Roman" w:hAnsi="Times New Roman" w:cs="Times New Roman"/>
          <w:sz w:val="24"/>
          <w:szCs w:val="24"/>
          <w:lang w:val="es-ES"/>
        </w:rPr>
        <w:t>.</w:t>
      </w:r>
      <w:r w:rsidR="001C43CB" w:rsidRPr="0061135D">
        <w:rPr>
          <w:rFonts w:ascii="Times New Roman" w:hAnsi="Times New Roman" w:cs="Times New Roman"/>
          <w:sz w:val="24"/>
          <w:szCs w:val="24"/>
          <w:lang w:val="es-ES"/>
        </w:rPr>
        <w:t xml:space="preserve">001, </w:t>
      </w:r>
      <w:r w:rsidR="001C43CB" w:rsidRPr="0061135D">
        <w:rPr>
          <w:rFonts w:ascii="Times New Roman" w:hAnsi="Times New Roman" w:cs="Times New Roman"/>
          <w:i/>
          <w:sz w:val="24"/>
          <w:szCs w:val="24"/>
          <w:lang w:val="es-ES"/>
        </w:rPr>
        <w:t>η²</w:t>
      </w:r>
      <w:r w:rsidR="001C43CB" w:rsidRPr="00617DF3">
        <w:rPr>
          <w:rFonts w:ascii="Times New Roman" w:hAnsi="Times New Roman" w:cs="Times New Roman"/>
          <w:i/>
          <w:iCs/>
          <w:sz w:val="24"/>
          <w:szCs w:val="24"/>
          <w:lang w:val="es-ES"/>
        </w:rPr>
        <w:t>p</w:t>
      </w:r>
      <w:r w:rsidR="001C43CB" w:rsidRPr="00617DF3">
        <w:rPr>
          <w:rFonts w:ascii="Times New Roman" w:hAnsi="Times New Roman" w:cs="Times New Roman"/>
          <w:sz w:val="24"/>
          <w:szCs w:val="24"/>
          <w:lang w:val="es-ES"/>
        </w:rPr>
        <w:t xml:space="preserve"> = 0</w:t>
      </w:r>
      <w:r w:rsidR="00FE4AF4" w:rsidRPr="00617DF3">
        <w:rPr>
          <w:rFonts w:ascii="Times New Roman" w:hAnsi="Times New Roman" w:cs="Times New Roman"/>
          <w:sz w:val="24"/>
          <w:szCs w:val="24"/>
          <w:lang w:val="es-ES"/>
        </w:rPr>
        <w:t>.</w:t>
      </w:r>
      <w:r w:rsidR="001C43CB" w:rsidRPr="00617DF3">
        <w:rPr>
          <w:rFonts w:ascii="Times New Roman" w:hAnsi="Times New Roman" w:cs="Times New Roman"/>
          <w:sz w:val="24"/>
          <w:szCs w:val="24"/>
          <w:lang w:val="es-ES"/>
        </w:rPr>
        <w:t>1</w:t>
      </w:r>
      <w:r w:rsidR="00FE4AF4" w:rsidRPr="00617DF3">
        <w:rPr>
          <w:rFonts w:ascii="Times New Roman" w:hAnsi="Times New Roman" w:cs="Times New Roman"/>
          <w:sz w:val="24"/>
          <w:szCs w:val="24"/>
          <w:lang w:val="es-ES"/>
        </w:rPr>
        <w:t>5</w:t>
      </w:r>
      <w:r w:rsidR="001C43CB" w:rsidRPr="00617DF3">
        <w:rPr>
          <w:rFonts w:ascii="Times New Roman" w:hAnsi="Times New Roman" w:cs="Times New Roman"/>
          <w:sz w:val="24"/>
          <w:szCs w:val="24"/>
          <w:lang w:val="es-ES"/>
        </w:rPr>
        <w:t xml:space="preserve">; </w:t>
      </w:r>
      <w:proofErr w:type="spellStart"/>
      <w:r w:rsidR="001C43CB" w:rsidRPr="00617DF3">
        <w:rPr>
          <w:rFonts w:ascii="Times New Roman" w:hAnsi="Times New Roman" w:cs="Times New Roman"/>
          <w:i/>
          <w:iCs/>
          <w:sz w:val="24"/>
          <w:szCs w:val="24"/>
          <w:lang w:val="es-ES"/>
        </w:rPr>
        <w:t>εG</w:t>
      </w:r>
      <w:proofErr w:type="spellEnd"/>
      <w:r w:rsidR="001C43CB" w:rsidRPr="00617DF3">
        <w:rPr>
          <w:rFonts w:ascii="Times New Roman" w:hAnsi="Times New Roman" w:cs="Times New Roman"/>
          <w:i/>
          <w:iCs/>
          <w:sz w:val="24"/>
          <w:szCs w:val="24"/>
          <w:lang w:val="es-ES"/>
        </w:rPr>
        <w:t xml:space="preserve">-G </w:t>
      </w:r>
      <w:r w:rsidR="001C43CB" w:rsidRPr="00617DF3">
        <w:rPr>
          <w:rFonts w:ascii="Times New Roman" w:hAnsi="Times New Roman" w:cs="Times New Roman"/>
          <w:sz w:val="24"/>
          <w:szCs w:val="24"/>
          <w:lang w:val="es-ES"/>
        </w:rPr>
        <w:t xml:space="preserve">= 0.56 </w:t>
      </w:r>
      <w:r w:rsidR="004941D1" w:rsidRPr="00617DF3">
        <w:rPr>
          <w:rFonts w:ascii="Times New Roman" w:hAnsi="Times New Roman" w:cs="Times New Roman"/>
          <w:sz w:val="24"/>
          <w:szCs w:val="24"/>
        </w:rPr>
        <w:t xml:space="preserve">y </w:t>
      </w:r>
      <w:r w:rsidR="00AF6C2D" w:rsidRPr="00617DF3">
        <w:rPr>
          <w:rFonts w:ascii="Times New Roman" w:hAnsi="Times New Roman" w:cs="Times New Roman"/>
          <w:sz w:val="24"/>
          <w:szCs w:val="24"/>
        </w:rPr>
        <w:t>contrastado con</w:t>
      </w:r>
      <w:r w:rsidR="004941D1" w:rsidRPr="00617DF3">
        <w:rPr>
          <w:rFonts w:ascii="Times New Roman" w:hAnsi="Times New Roman" w:cs="Times New Roman"/>
          <w:sz w:val="24"/>
          <w:szCs w:val="24"/>
        </w:rPr>
        <w:t xml:space="preserve"> </w:t>
      </w:r>
      <w:proofErr w:type="spellStart"/>
      <w:r w:rsidR="004941D1" w:rsidRPr="00617DF3">
        <w:rPr>
          <w:rFonts w:ascii="Times New Roman" w:hAnsi="Times New Roman" w:cs="Times New Roman"/>
          <w:sz w:val="24"/>
          <w:szCs w:val="24"/>
        </w:rPr>
        <w:t>Huynh</w:t>
      </w:r>
      <w:proofErr w:type="spellEnd"/>
      <w:r w:rsidR="004941D1" w:rsidRPr="00617DF3">
        <w:rPr>
          <w:rFonts w:ascii="Times New Roman" w:hAnsi="Times New Roman" w:cs="Times New Roman"/>
          <w:sz w:val="24"/>
          <w:szCs w:val="24"/>
        </w:rPr>
        <w:t>–</w:t>
      </w:r>
      <w:proofErr w:type="spellStart"/>
      <w:r w:rsidR="004941D1" w:rsidRPr="00617DF3">
        <w:rPr>
          <w:rFonts w:ascii="Times New Roman" w:hAnsi="Times New Roman" w:cs="Times New Roman"/>
          <w:sz w:val="24"/>
          <w:szCs w:val="24"/>
        </w:rPr>
        <w:t>Feldt</w:t>
      </w:r>
      <w:proofErr w:type="spellEnd"/>
      <w:r w:rsidR="004941D1" w:rsidRPr="00617DF3">
        <w:rPr>
          <w:rFonts w:ascii="Times New Roman" w:hAnsi="Times New Roman" w:cs="Times New Roman"/>
          <w:sz w:val="24"/>
          <w:szCs w:val="24"/>
        </w:rPr>
        <w:t>, obteniéndose las mismas inferencias (</w:t>
      </w:r>
      <w:r w:rsidR="004941D1" w:rsidRPr="00617DF3">
        <w:rPr>
          <w:rFonts w:ascii="Times New Roman" w:hAnsi="Times New Roman" w:cs="Times New Roman"/>
          <w:i/>
          <w:iCs/>
          <w:sz w:val="24"/>
          <w:szCs w:val="24"/>
        </w:rPr>
        <w:t>p</w:t>
      </w:r>
      <w:r w:rsidR="004941D1" w:rsidRPr="00617DF3">
        <w:rPr>
          <w:rFonts w:ascii="Times New Roman" w:hAnsi="Times New Roman" w:cs="Times New Roman"/>
          <w:sz w:val="24"/>
          <w:szCs w:val="24"/>
        </w:rPr>
        <w:t xml:space="preserve"> &lt; </w:t>
      </w:r>
      <w:r w:rsidR="004A3420" w:rsidRPr="00617DF3">
        <w:rPr>
          <w:rFonts w:ascii="Times New Roman" w:hAnsi="Times New Roman" w:cs="Times New Roman"/>
          <w:sz w:val="24"/>
          <w:szCs w:val="24"/>
        </w:rPr>
        <w:t>0</w:t>
      </w:r>
      <w:r w:rsidR="004941D1" w:rsidRPr="00617DF3">
        <w:rPr>
          <w:rFonts w:ascii="Times New Roman" w:hAnsi="Times New Roman" w:cs="Times New Roman"/>
          <w:sz w:val="24"/>
          <w:szCs w:val="24"/>
        </w:rPr>
        <w:t>.001)</w:t>
      </w:r>
      <w:r w:rsidR="00833615" w:rsidRPr="00617DF3">
        <w:rPr>
          <w:rFonts w:ascii="Times New Roman" w:hAnsi="Times New Roman" w:cs="Times New Roman"/>
          <w:sz w:val="24"/>
          <w:szCs w:val="24"/>
        </w:rPr>
        <w:t>.</w:t>
      </w:r>
      <w:r w:rsidR="00F94ECB" w:rsidRPr="00617DF3">
        <w:rPr>
          <w:rFonts w:ascii="Times New Roman" w:hAnsi="Times New Roman" w:cs="Times New Roman"/>
          <w:sz w:val="24"/>
          <w:szCs w:val="24"/>
        </w:rPr>
        <w:t xml:space="preserve"> Las comparaciones post hoc Bonferroni</w:t>
      </w:r>
      <w:r w:rsidR="002F728B" w:rsidRPr="00617DF3">
        <w:rPr>
          <w:rFonts w:ascii="Times New Roman" w:hAnsi="Times New Roman" w:cs="Times New Roman"/>
          <w:sz w:val="24"/>
          <w:szCs w:val="24"/>
        </w:rPr>
        <w:t>,</w:t>
      </w:r>
      <w:r w:rsidR="00F94ECB" w:rsidRPr="00617DF3">
        <w:rPr>
          <w:rFonts w:ascii="Times New Roman" w:hAnsi="Times New Roman" w:cs="Times New Roman"/>
          <w:sz w:val="24"/>
          <w:szCs w:val="24"/>
        </w:rPr>
        <w:t xml:space="preserve"> </w:t>
      </w:r>
      <w:r w:rsidR="002F728B" w:rsidRPr="00617DF3">
        <w:rPr>
          <w:rFonts w:ascii="Times New Roman" w:hAnsi="Times New Roman" w:cs="Times New Roman"/>
          <w:sz w:val="24"/>
          <w:szCs w:val="24"/>
        </w:rPr>
        <w:t xml:space="preserve">ajustando por 15 comparaciones, </w:t>
      </w:r>
      <w:r w:rsidR="00F94ECB" w:rsidRPr="00617DF3">
        <w:rPr>
          <w:rFonts w:ascii="Times New Roman" w:hAnsi="Times New Roman" w:cs="Times New Roman"/>
          <w:sz w:val="24"/>
          <w:szCs w:val="24"/>
        </w:rPr>
        <w:t>indicaron que todos los niveles superiores (2 a 6) superaron a Conocimiento (</w:t>
      </w:r>
      <w:r w:rsidR="00F94ECB" w:rsidRPr="0061135D">
        <w:rPr>
          <w:rFonts w:ascii="Times New Roman" w:hAnsi="Times New Roman" w:cs="Times New Roman"/>
          <w:i/>
          <w:sz w:val="24"/>
          <w:szCs w:val="24"/>
        </w:rPr>
        <w:t>p</w:t>
      </w:r>
      <w:r w:rsidR="00F94ECB" w:rsidRPr="00617DF3">
        <w:rPr>
          <w:rFonts w:ascii="Times New Roman" w:hAnsi="Times New Roman" w:cs="Times New Roman"/>
          <w:sz w:val="24"/>
          <w:szCs w:val="24"/>
        </w:rPr>
        <w:t xml:space="preserve"> ≤ </w:t>
      </w:r>
      <w:r w:rsidR="004A3420" w:rsidRPr="00617DF3">
        <w:rPr>
          <w:rFonts w:ascii="Times New Roman" w:hAnsi="Times New Roman" w:cs="Times New Roman"/>
          <w:sz w:val="24"/>
          <w:szCs w:val="24"/>
        </w:rPr>
        <w:t>0</w:t>
      </w:r>
      <w:r w:rsidR="00F94ECB" w:rsidRPr="00617DF3">
        <w:rPr>
          <w:rFonts w:ascii="Times New Roman" w:hAnsi="Times New Roman" w:cs="Times New Roman"/>
          <w:sz w:val="24"/>
          <w:szCs w:val="24"/>
        </w:rPr>
        <w:t xml:space="preserve">.032) y que </w:t>
      </w:r>
      <w:r w:rsidR="006F297D" w:rsidRPr="00617DF3">
        <w:rPr>
          <w:rFonts w:ascii="Times New Roman" w:hAnsi="Times New Roman" w:cs="Times New Roman"/>
          <w:sz w:val="24"/>
          <w:szCs w:val="24"/>
        </w:rPr>
        <w:t>A</w:t>
      </w:r>
      <w:r w:rsidR="00F94ECB" w:rsidRPr="00617DF3">
        <w:rPr>
          <w:rFonts w:ascii="Times New Roman" w:hAnsi="Times New Roman" w:cs="Times New Roman"/>
          <w:sz w:val="24"/>
          <w:szCs w:val="24"/>
        </w:rPr>
        <w:t xml:space="preserve">nálisis, </w:t>
      </w:r>
      <w:r w:rsidR="006F297D" w:rsidRPr="00617DF3">
        <w:rPr>
          <w:rFonts w:ascii="Times New Roman" w:hAnsi="Times New Roman" w:cs="Times New Roman"/>
          <w:sz w:val="24"/>
          <w:szCs w:val="24"/>
        </w:rPr>
        <w:t>E</w:t>
      </w:r>
      <w:r w:rsidR="00F94ECB" w:rsidRPr="00617DF3">
        <w:rPr>
          <w:rFonts w:ascii="Times New Roman" w:hAnsi="Times New Roman" w:cs="Times New Roman"/>
          <w:sz w:val="24"/>
          <w:szCs w:val="24"/>
        </w:rPr>
        <w:t xml:space="preserve">valuación y </w:t>
      </w:r>
      <w:r w:rsidR="006F297D" w:rsidRPr="00617DF3">
        <w:rPr>
          <w:rFonts w:ascii="Times New Roman" w:hAnsi="Times New Roman" w:cs="Times New Roman"/>
          <w:sz w:val="24"/>
          <w:szCs w:val="24"/>
        </w:rPr>
        <w:t>C</w:t>
      </w:r>
      <w:r w:rsidR="00F94ECB" w:rsidRPr="00617DF3">
        <w:rPr>
          <w:rFonts w:ascii="Times New Roman" w:hAnsi="Times New Roman" w:cs="Times New Roman"/>
          <w:sz w:val="24"/>
          <w:szCs w:val="24"/>
        </w:rPr>
        <w:t>reación excedieron Comprensión (</w:t>
      </w:r>
      <w:r w:rsidR="00F94ECB" w:rsidRPr="0061135D">
        <w:rPr>
          <w:rFonts w:ascii="Times New Roman" w:hAnsi="Times New Roman" w:cs="Times New Roman"/>
          <w:i/>
          <w:sz w:val="24"/>
          <w:szCs w:val="24"/>
        </w:rPr>
        <w:t>p</w:t>
      </w:r>
      <w:r w:rsidR="00F94ECB" w:rsidRPr="00617DF3">
        <w:rPr>
          <w:rFonts w:ascii="Times New Roman" w:hAnsi="Times New Roman" w:cs="Times New Roman"/>
          <w:sz w:val="24"/>
          <w:szCs w:val="24"/>
        </w:rPr>
        <w:t xml:space="preserve"> = </w:t>
      </w:r>
      <w:r w:rsidR="00FE4AF4" w:rsidRPr="00617DF3">
        <w:rPr>
          <w:rFonts w:ascii="Times New Roman" w:hAnsi="Times New Roman" w:cs="Times New Roman"/>
          <w:sz w:val="24"/>
          <w:szCs w:val="24"/>
        </w:rPr>
        <w:t>0</w:t>
      </w:r>
      <w:r w:rsidR="00F94ECB" w:rsidRPr="00617DF3">
        <w:rPr>
          <w:rFonts w:ascii="Times New Roman" w:hAnsi="Times New Roman" w:cs="Times New Roman"/>
          <w:sz w:val="24"/>
          <w:szCs w:val="24"/>
        </w:rPr>
        <w:t xml:space="preserve">.008, </w:t>
      </w:r>
      <w:r w:rsidR="004A3420" w:rsidRPr="00617DF3">
        <w:rPr>
          <w:rFonts w:ascii="Times New Roman" w:hAnsi="Times New Roman" w:cs="Times New Roman"/>
          <w:sz w:val="24"/>
          <w:szCs w:val="24"/>
        </w:rPr>
        <w:t>0</w:t>
      </w:r>
      <w:r w:rsidR="00F94ECB" w:rsidRPr="00617DF3">
        <w:rPr>
          <w:rFonts w:ascii="Times New Roman" w:hAnsi="Times New Roman" w:cs="Times New Roman"/>
          <w:sz w:val="24"/>
          <w:szCs w:val="24"/>
        </w:rPr>
        <w:t xml:space="preserve">.017 y </w:t>
      </w:r>
      <w:r w:rsidR="004A3420" w:rsidRPr="00617DF3">
        <w:rPr>
          <w:rFonts w:ascii="Times New Roman" w:hAnsi="Times New Roman" w:cs="Times New Roman"/>
          <w:sz w:val="24"/>
          <w:szCs w:val="24"/>
        </w:rPr>
        <w:t>0</w:t>
      </w:r>
      <w:r w:rsidR="00F94ECB" w:rsidRPr="00617DF3">
        <w:rPr>
          <w:rFonts w:ascii="Times New Roman" w:hAnsi="Times New Roman" w:cs="Times New Roman"/>
          <w:sz w:val="24"/>
          <w:szCs w:val="24"/>
        </w:rPr>
        <w:t xml:space="preserve">.006). Las diferencias entre </w:t>
      </w:r>
      <w:r w:rsidR="00CE6A63" w:rsidRPr="00617DF3">
        <w:rPr>
          <w:rFonts w:ascii="Times New Roman" w:hAnsi="Times New Roman" w:cs="Times New Roman"/>
          <w:sz w:val="24"/>
          <w:szCs w:val="24"/>
        </w:rPr>
        <w:t>aplicación</w:t>
      </w:r>
      <w:r w:rsidR="00F94ECB" w:rsidRPr="00617DF3">
        <w:rPr>
          <w:rFonts w:ascii="Times New Roman" w:hAnsi="Times New Roman" w:cs="Times New Roman"/>
          <w:sz w:val="24"/>
          <w:szCs w:val="24"/>
        </w:rPr>
        <w:t xml:space="preserve"> y los niveles superiores, y entre estos últimos, no fueron significativas. </w:t>
      </w:r>
      <w:r w:rsidR="00EB756F" w:rsidRPr="00617DF3">
        <w:rPr>
          <w:rFonts w:ascii="Times New Roman" w:hAnsi="Times New Roman" w:cs="Times New Roman"/>
          <w:sz w:val="24"/>
          <w:szCs w:val="24"/>
        </w:rPr>
        <w:t>Se reportaron tamaños del efecto dentro de sujeto (</w:t>
      </w:r>
      <w:r w:rsidR="00766E50" w:rsidRPr="00617DF3">
        <w:rPr>
          <w:rFonts w:ascii="Times New Roman" w:hAnsi="Times New Roman" w:cs="Times New Roman"/>
          <w:sz w:val="24"/>
          <w:szCs w:val="24"/>
        </w:rPr>
        <w:t>“</w:t>
      </w:r>
      <w:r w:rsidR="00766E50" w:rsidRPr="00617DF3">
        <w:rPr>
          <w:rFonts w:ascii="Times New Roman" w:hAnsi="Times New Roman" w:cs="Times New Roman"/>
          <w:i/>
          <w:iCs/>
          <w:sz w:val="24"/>
          <w:szCs w:val="24"/>
        </w:rPr>
        <w:t>d</w:t>
      </w:r>
      <w:r w:rsidR="00766E50" w:rsidRPr="00617DF3">
        <w:rPr>
          <w:rFonts w:ascii="Times New Roman" w:hAnsi="Times New Roman" w:cs="Times New Roman"/>
          <w:sz w:val="24"/>
          <w:szCs w:val="24"/>
        </w:rPr>
        <w:t xml:space="preserve">” de </w:t>
      </w:r>
      <w:r w:rsidR="00EB756F" w:rsidRPr="00617DF3">
        <w:rPr>
          <w:rFonts w:ascii="Times New Roman" w:hAnsi="Times New Roman" w:cs="Times New Roman"/>
          <w:sz w:val="24"/>
          <w:szCs w:val="24"/>
        </w:rPr>
        <w:t>Cohen)</w:t>
      </w:r>
      <w:r w:rsidR="00766E50" w:rsidRPr="00617DF3">
        <w:rPr>
          <w:rFonts w:ascii="Times New Roman" w:hAnsi="Times New Roman" w:cs="Times New Roman"/>
          <w:sz w:val="24"/>
          <w:szCs w:val="24"/>
        </w:rPr>
        <w:t>.</w:t>
      </w:r>
      <w:r w:rsidR="00766E50" w:rsidRPr="00617DF3">
        <w:rPr>
          <w:rFonts w:ascii="Times New Roman" w:hAnsi="Times New Roman" w:cs="Times New Roman"/>
          <w:b/>
          <w:bCs/>
          <w:sz w:val="24"/>
          <w:szCs w:val="24"/>
        </w:rPr>
        <w:t xml:space="preserve"> </w:t>
      </w:r>
      <w:r w:rsidR="00F94ECB" w:rsidRPr="00617DF3">
        <w:rPr>
          <w:rFonts w:ascii="Times New Roman" w:hAnsi="Times New Roman" w:cs="Times New Roman"/>
          <w:sz w:val="24"/>
          <w:szCs w:val="24"/>
        </w:rPr>
        <w:t>Véase la Tabla 2.</w:t>
      </w:r>
    </w:p>
    <w:p w14:paraId="6BCFBEC5" w14:textId="62E8719E" w:rsidR="00835F98" w:rsidRPr="00617DF3" w:rsidRDefault="00E76B8E" w:rsidP="003C6959">
      <w:pPr>
        <w:pStyle w:val="Descripcin"/>
        <w:keepNext/>
        <w:spacing w:after="0"/>
        <w:jc w:val="center"/>
        <w:rPr>
          <w:rFonts w:ascii="Times New Roman" w:hAnsi="Times New Roman" w:cs="Times New Roman"/>
          <w:i w:val="0"/>
          <w:iCs w:val="0"/>
          <w:color w:val="auto"/>
          <w:sz w:val="24"/>
          <w:szCs w:val="24"/>
        </w:rPr>
      </w:pPr>
      <w:r w:rsidRPr="0061135D">
        <w:rPr>
          <w:rFonts w:ascii="Times New Roman" w:hAnsi="Times New Roman" w:cs="Times New Roman"/>
          <w:b/>
          <w:i w:val="0"/>
          <w:color w:val="auto"/>
          <w:sz w:val="24"/>
          <w:szCs w:val="24"/>
        </w:rPr>
        <w:lastRenderedPageBreak/>
        <w:t xml:space="preserve">Tabla </w:t>
      </w:r>
      <w:r w:rsidRPr="0061135D">
        <w:rPr>
          <w:rFonts w:ascii="Times New Roman" w:hAnsi="Times New Roman" w:cs="Times New Roman"/>
          <w:b/>
          <w:i w:val="0"/>
          <w:color w:val="auto"/>
          <w:sz w:val="24"/>
          <w:szCs w:val="24"/>
        </w:rPr>
        <w:fldChar w:fldCharType="begin"/>
      </w:r>
      <w:r w:rsidRPr="0061135D">
        <w:rPr>
          <w:rFonts w:ascii="Times New Roman" w:hAnsi="Times New Roman" w:cs="Times New Roman"/>
          <w:b/>
          <w:i w:val="0"/>
          <w:color w:val="auto"/>
          <w:sz w:val="24"/>
          <w:szCs w:val="24"/>
        </w:rPr>
        <w:instrText xml:space="preserve"> SEQ Tabla \* ARABIC </w:instrText>
      </w:r>
      <w:r w:rsidRPr="0061135D">
        <w:rPr>
          <w:rFonts w:ascii="Times New Roman" w:hAnsi="Times New Roman" w:cs="Times New Roman"/>
          <w:b/>
          <w:i w:val="0"/>
          <w:color w:val="auto"/>
          <w:sz w:val="24"/>
          <w:szCs w:val="24"/>
        </w:rPr>
        <w:fldChar w:fldCharType="separate"/>
      </w:r>
      <w:r w:rsidR="00707A83">
        <w:rPr>
          <w:rFonts w:ascii="Times New Roman" w:hAnsi="Times New Roman" w:cs="Times New Roman"/>
          <w:b/>
          <w:i w:val="0"/>
          <w:noProof/>
          <w:color w:val="auto"/>
          <w:sz w:val="24"/>
          <w:szCs w:val="24"/>
        </w:rPr>
        <w:t>2</w:t>
      </w:r>
      <w:r w:rsidRPr="0061135D">
        <w:rPr>
          <w:rFonts w:ascii="Times New Roman" w:hAnsi="Times New Roman" w:cs="Times New Roman"/>
          <w:b/>
          <w:i w:val="0"/>
          <w:color w:val="auto"/>
          <w:sz w:val="24"/>
          <w:szCs w:val="24"/>
        </w:rPr>
        <w:fldChar w:fldCharType="end"/>
      </w:r>
      <w:r w:rsidRPr="0061135D">
        <w:rPr>
          <w:rFonts w:ascii="Times New Roman" w:hAnsi="Times New Roman" w:cs="Times New Roman"/>
          <w:i w:val="0"/>
          <w:color w:val="auto"/>
          <w:sz w:val="24"/>
          <w:szCs w:val="24"/>
        </w:rPr>
        <w:t>.</w:t>
      </w:r>
      <w:r w:rsidRPr="00617DF3">
        <w:rPr>
          <w:rFonts w:ascii="Times New Roman" w:hAnsi="Times New Roman" w:cs="Times New Roman"/>
          <w:i w:val="0"/>
          <w:iCs w:val="0"/>
          <w:color w:val="auto"/>
          <w:sz w:val="24"/>
          <w:szCs w:val="24"/>
        </w:rPr>
        <w:t xml:space="preserve"> Comparaciones pareadas con corrección de Bonferroni</w:t>
      </w:r>
    </w:p>
    <w:tbl>
      <w:tblPr>
        <w:tblW w:w="9383" w:type="dxa"/>
        <w:jc w:val="center"/>
        <w:tblBorders>
          <w:top w:val="single" w:sz="2" w:space="0" w:color="auto"/>
          <w:bottom w:val="single" w:sz="2" w:space="0" w:color="auto"/>
          <w:insideH w:val="single" w:sz="2" w:space="0" w:color="auto"/>
        </w:tblBorders>
        <w:tblCellMar>
          <w:left w:w="70" w:type="dxa"/>
          <w:right w:w="70" w:type="dxa"/>
        </w:tblCellMar>
        <w:tblLook w:val="04A0" w:firstRow="1" w:lastRow="0" w:firstColumn="1" w:lastColumn="0" w:noHBand="0" w:noVBand="1"/>
      </w:tblPr>
      <w:tblGrid>
        <w:gridCol w:w="3180"/>
        <w:gridCol w:w="1007"/>
        <w:gridCol w:w="866"/>
        <w:gridCol w:w="1926"/>
        <w:gridCol w:w="1536"/>
        <w:gridCol w:w="868"/>
      </w:tblGrid>
      <w:tr w:rsidR="003C6959" w:rsidRPr="00617DF3" w14:paraId="699481D8" w14:textId="4F5EC700" w:rsidTr="00980900">
        <w:trPr>
          <w:trHeight w:val="431"/>
          <w:jc w:val="center"/>
        </w:trPr>
        <w:tc>
          <w:tcPr>
            <w:tcW w:w="3180" w:type="dxa"/>
            <w:tcBorders>
              <w:bottom w:val="single" w:sz="12" w:space="0" w:color="auto"/>
            </w:tcBorders>
            <w:noWrap/>
            <w:vAlign w:val="center"/>
            <w:hideMark/>
          </w:tcPr>
          <w:p w14:paraId="516004C9" w14:textId="77777777" w:rsidR="006F3A92" w:rsidRPr="0061135D" w:rsidRDefault="006F3A92" w:rsidP="0061135D">
            <w:pPr>
              <w:spacing w:after="0" w:line="240" w:lineRule="auto"/>
              <w:jc w:val="center"/>
              <w:rPr>
                <w:rFonts w:ascii="Times New Roman" w:hAnsi="Times New Roman" w:cs="Times New Roman"/>
                <w:kern w:val="0"/>
                <w:sz w:val="24"/>
                <w:szCs w:val="24"/>
                <w14:ligatures w14:val="none"/>
              </w:rPr>
            </w:pPr>
            <w:r w:rsidRPr="0061135D">
              <w:rPr>
                <w:rFonts w:ascii="Times New Roman" w:hAnsi="Times New Roman" w:cs="Times New Roman"/>
                <w:kern w:val="0"/>
                <w:sz w:val="24"/>
                <w:szCs w:val="24"/>
                <w14:ligatures w14:val="none"/>
              </w:rPr>
              <w:t>Comparación</w:t>
            </w:r>
          </w:p>
        </w:tc>
        <w:tc>
          <w:tcPr>
            <w:tcW w:w="1007" w:type="dxa"/>
            <w:tcBorders>
              <w:bottom w:val="single" w:sz="12" w:space="0" w:color="auto"/>
            </w:tcBorders>
            <w:noWrap/>
            <w:vAlign w:val="center"/>
            <w:hideMark/>
          </w:tcPr>
          <w:p w14:paraId="6BA484E8" w14:textId="53752CB1" w:rsidR="006F3A92" w:rsidRPr="0061135D" w:rsidRDefault="006F3A92" w:rsidP="0061135D">
            <w:pPr>
              <w:spacing w:after="0" w:line="240" w:lineRule="auto"/>
              <w:jc w:val="center"/>
              <w:rPr>
                <w:rFonts w:ascii="Times New Roman" w:hAnsi="Times New Roman" w:cs="Times New Roman"/>
                <w:i/>
                <w:kern w:val="0"/>
                <w:sz w:val="24"/>
                <w:szCs w:val="24"/>
                <w14:ligatures w14:val="none"/>
              </w:rPr>
            </w:pPr>
            <w:r w:rsidRPr="00617DF3">
              <w:rPr>
                <w:rFonts w:ascii="Times New Roman" w:eastAsia="Times New Roman" w:hAnsi="Times New Roman" w:cs="Times New Roman"/>
                <w:i/>
                <w:iCs/>
                <w:kern w:val="0"/>
                <w:sz w:val="24"/>
                <w:szCs w:val="24"/>
                <w:lang w:eastAsia="es-MX"/>
                <w14:ligatures w14:val="none"/>
              </w:rPr>
              <w:t>DM</w:t>
            </w:r>
          </w:p>
        </w:tc>
        <w:tc>
          <w:tcPr>
            <w:tcW w:w="866" w:type="dxa"/>
            <w:tcBorders>
              <w:bottom w:val="single" w:sz="12" w:space="0" w:color="auto"/>
            </w:tcBorders>
            <w:noWrap/>
            <w:vAlign w:val="center"/>
            <w:hideMark/>
          </w:tcPr>
          <w:p w14:paraId="218BBC15" w14:textId="77777777" w:rsidR="006F3A92" w:rsidRPr="0061135D" w:rsidRDefault="006F3A92" w:rsidP="0061135D">
            <w:pPr>
              <w:spacing w:after="0" w:line="240" w:lineRule="auto"/>
              <w:jc w:val="center"/>
              <w:rPr>
                <w:rFonts w:ascii="Times New Roman" w:hAnsi="Times New Roman" w:cs="Times New Roman"/>
                <w:i/>
                <w:kern w:val="0"/>
                <w:sz w:val="24"/>
                <w:szCs w:val="24"/>
                <w14:ligatures w14:val="none"/>
              </w:rPr>
            </w:pPr>
            <w:r w:rsidRPr="0061135D">
              <w:rPr>
                <w:rFonts w:ascii="Times New Roman" w:hAnsi="Times New Roman" w:cs="Times New Roman"/>
                <w:i/>
                <w:kern w:val="0"/>
                <w:sz w:val="24"/>
                <w:szCs w:val="24"/>
                <w14:ligatures w14:val="none"/>
              </w:rPr>
              <w:t>DE</w:t>
            </w:r>
          </w:p>
        </w:tc>
        <w:tc>
          <w:tcPr>
            <w:tcW w:w="1926" w:type="dxa"/>
            <w:tcBorders>
              <w:bottom w:val="single" w:sz="12" w:space="0" w:color="auto"/>
            </w:tcBorders>
            <w:noWrap/>
            <w:vAlign w:val="center"/>
            <w:hideMark/>
          </w:tcPr>
          <w:p w14:paraId="08BB3897" w14:textId="70FE84CA" w:rsidR="006F3A92" w:rsidRPr="0061135D" w:rsidRDefault="006F3A92" w:rsidP="0061135D">
            <w:pPr>
              <w:spacing w:after="0" w:line="240" w:lineRule="auto"/>
              <w:jc w:val="center"/>
              <w:rPr>
                <w:rFonts w:ascii="Times New Roman" w:hAnsi="Times New Roman" w:cs="Times New Roman"/>
                <w:i/>
                <w:kern w:val="0"/>
                <w:sz w:val="24"/>
                <w:szCs w:val="24"/>
                <w14:ligatures w14:val="none"/>
              </w:rPr>
            </w:pPr>
            <w:r w:rsidRPr="00617DF3">
              <w:rPr>
                <w:rFonts w:ascii="Times New Roman" w:eastAsia="Times New Roman" w:hAnsi="Times New Roman" w:cs="Times New Roman"/>
                <w:i/>
                <w:iCs/>
                <w:kern w:val="0"/>
                <w:sz w:val="24"/>
                <w:szCs w:val="24"/>
                <w:lang w:eastAsia="es-MX"/>
                <w14:ligatures w14:val="none"/>
              </w:rPr>
              <w:t xml:space="preserve">IC del </w:t>
            </w:r>
            <w:r w:rsidRPr="0061135D">
              <w:rPr>
                <w:rFonts w:ascii="Times New Roman" w:hAnsi="Times New Roman" w:cs="Times New Roman"/>
                <w:i/>
                <w:kern w:val="0"/>
                <w:sz w:val="24"/>
                <w:szCs w:val="24"/>
                <w14:ligatures w14:val="none"/>
              </w:rPr>
              <w:t>95%</w:t>
            </w:r>
          </w:p>
        </w:tc>
        <w:tc>
          <w:tcPr>
            <w:tcW w:w="1536" w:type="dxa"/>
            <w:tcBorders>
              <w:bottom w:val="single" w:sz="12" w:space="0" w:color="auto"/>
            </w:tcBorders>
            <w:noWrap/>
            <w:vAlign w:val="center"/>
            <w:hideMark/>
          </w:tcPr>
          <w:p w14:paraId="10D229A6" w14:textId="522326B3" w:rsidR="006F3A92" w:rsidRPr="0061135D" w:rsidRDefault="007B57AA" w:rsidP="0061135D">
            <w:pPr>
              <w:spacing w:after="0" w:line="240" w:lineRule="auto"/>
              <w:jc w:val="center"/>
              <w:rPr>
                <w:rFonts w:ascii="Times New Roman" w:hAnsi="Times New Roman" w:cs="Times New Roman"/>
                <w:i/>
                <w:kern w:val="0"/>
                <w:sz w:val="24"/>
                <w:szCs w:val="24"/>
                <w14:ligatures w14:val="none"/>
              </w:rPr>
            </w:pPr>
            <w:r w:rsidRPr="00617DF3">
              <w:rPr>
                <w:rFonts w:ascii="Times New Roman" w:eastAsia="Times New Roman" w:hAnsi="Times New Roman" w:cs="Times New Roman"/>
                <w:i/>
                <w:iCs/>
                <w:kern w:val="0"/>
                <w:sz w:val="24"/>
                <w:szCs w:val="24"/>
                <w:lang w:eastAsia="es-MX"/>
                <w14:ligatures w14:val="none"/>
              </w:rPr>
              <w:t>p</w:t>
            </w:r>
            <w:r w:rsidR="006F3A92" w:rsidRPr="00617DF3">
              <w:rPr>
                <w:rFonts w:ascii="Times New Roman" w:eastAsia="Times New Roman" w:hAnsi="Times New Roman" w:cs="Times New Roman"/>
                <w:i/>
                <w:iCs/>
                <w:kern w:val="0"/>
                <w:sz w:val="24"/>
                <w:szCs w:val="24"/>
                <w:lang w:eastAsia="es-MX"/>
                <w14:ligatures w14:val="none"/>
              </w:rPr>
              <w:t xml:space="preserve"> </w:t>
            </w:r>
            <w:r w:rsidR="006F3A92" w:rsidRPr="00617DF3">
              <w:rPr>
                <w:rFonts w:ascii="Times New Roman" w:eastAsia="Times New Roman" w:hAnsi="Times New Roman" w:cs="Times New Roman"/>
                <w:kern w:val="0"/>
                <w:sz w:val="24"/>
                <w:szCs w:val="24"/>
                <w:lang w:eastAsia="es-MX"/>
                <w14:ligatures w14:val="none"/>
              </w:rPr>
              <w:t>ajustada</w:t>
            </w:r>
          </w:p>
        </w:tc>
        <w:tc>
          <w:tcPr>
            <w:tcW w:w="868" w:type="dxa"/>
            <w:tcBorders>
              <w:bottom w:val="single" w:sz="12" w:space="0" w:color="auto"/>
            </w:tcBorders>
            <w:vAlign w:val="center"/>
          </w:tcPr>
          <w:p w14:paraId="02052A17" w14:textId="2990709B" w:rsidR="006F3A92" w:rsidRPr="0061135D" w:rsidRDefault="006F3A92" w:rsidP="0061135D">
            <w:pPr>
              <w:spacing w:after="0" w:line="240" w:lineRule="auto"/>
              <w:jc w:val="center"/>
              <w:rPr>
                <w:rFonts w:ascii="Times New Roman" w:hAnsi="Times New Roman" w:cs="Times New Roman"/>
                <w:i/>
                <w:kern w:val="0"/>
                <w:sz w:val="24"/>
                <w:szCs w:val="24"/>
                <w14:ligatures w14:val="none"/>
              </w:rPr>
            </w:pPr>
            <w:r w:rsidRPr="00617DF3">
              <w:rPr>
                <w:rFonts w:ascii="Times New Roman" w:eastAsia="Times New Roman" w:hAnsi="Times New Roman" w:cs="Times New Roman"/>
                <w:i/>
                <w:iCs/>
                <w:kern w:val="0"/>
                <w:sz w:val="24"/>
                <w:szCs w:val="24"/>
                <w:lang w:eastAsia="es-MX"/>
                <w14:ligatures w14:val="none"/>
              </w:rPr>
              <w:t>d</w:t>
            </w:r>
          </w:p>
        </w:tc>
      </w:tr>
      <w:tr w:rsidR="003C6959" w:rsidRPr="00617DF3" w14:paraId="3A06D8AE" w14:textId="3D21F0FF" w:rsidTr="00980900">
        <w:trPr>
          <w:trHeight w:val="431"/>
          <w:jc w:val="center"/>
        </w:trPr>
        <w:tc>
          <w:tcPr>
            <w:tcW w:w="3180" w:type="dxa"/>
            <w:tcBorders>
              <w:top w:val="single" w:sz="12" w:space="0" w:color="auto"/>
            </w:tcBorders>
            <w:noWrap/>
            <w:vAlign w:val="center"/>
            <w:hideMark/>
          </w:tcPr>
          <w:p w14:paraId="014632AF" w14:textId="77777777" w:rsidR="006F3A92" w:rsidRPr="00617DF3" w:rsidRDefault="006F3A92" w:rsidP="0061135D">
            <w:pPr>
              <w:spacing w:after="0" w:line="240" w:lineRule="auto"/>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Recordación-Comprensión</w:t>
            </w:r>
          </w:p>
        </w:tc>
        <w:tc>
          <w:tcPr>
            <w:tcW w:w="1007" w:type="dxa"/>
            <w:tcBorders>
              <w:top w:val="single" w:sz="12" w:space="0" w:color="auto"/>
            </w:tcBorders>
            <w:noWrap/>
            <w:vAlign w:val="center"/>
            <w:hideMark/>
          </w:tcPr>
          <w:p w14:paraId="7D1316AC" w14:textId="253CA581" w:rsidR="006F3A92" w:rsidRPr="00617DF3" w:rsidRDefault="006F3A92" w:rsidP="0061135D">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-0.31</w:t>
            </w:r>
          </w:p>
        </w:tc>
        <w:tc>
          <w:tcPr>
            <w:tcW w:w="866" w:type="dxa"/>
            <w:tcBorders>
              <w:top w:val="single" w:sz="12" w:space="0" w:color="auto"/>
            </w:tcBorders>
            <w:noWrap/>
            <w:vAlign w:val="center"/>
            <w:hideMark/>
          </w:tcPr>
          <w:p w14:paraId="6059C00A" w14:textId="22A60C5F" w:rsidR="006F3A92" w:rsidRPr="00617DF3" w:rsidRDefault="006F3A92" w:rsidP="0061135D">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0.10</w:t>
            </w:r>
          </w:p>
        </w:tc>
        <w:tc>
          <w:tcPr>
            <w:tcW w:w="1926" w:type="dxa"/>
            <w:tcBorders>
              <w:top w:val="single" w:sz="12" w:space="0" w:color="auto"/>
            </w:tcBorders>
            <w:noWrap/>
            <w:vAlign w:val="center"/>
            <w:hideMark/>
          </w:tcPr>
          <w:p w14:paraId="6E29393D" w14:textId="38009D69" w:rsidR="006F3A92" w:rsidRPr="00617DF3" w:rsidRDefault="006F3A92" w:rsidP="0061135D">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[-0.61,-0.02]</w:t>
            </w:r>
          </w:p>
        </w:tc>
        <w:tc>
          <w:tcPr>
            <w:tcW w:w="1536" w:type="dxa"/>
            <w:tcBorders>
              <w:top w:val="single" w:sz="12" w:space="0" w:color="auto"/>
            </w:tcBorders>
            <w:noWrap/>
            <w:vAlign w:val="center"/>
            <w:hideMark/>
          </w:tcPr>
          <w:p w14:paraId="2ECE43AC" w14:textId="431C8F73" w:rsidR="006F3A92" w:rsidRPr="00617DF3" w:rsidRDefault="006F3A92" w:rsidP="0061135D">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0.032</w:t>
            </w:r>
          </w:p>
        </w:tc>
        <w:tc>
          <w:tcPr>
            <w:tcW w:w="868" w:type="dxa"/>
            <w:tcBorders>
              <w:top w:val="single" w:sz="12" w:space="0" w:color="auto"/>
            </w:tcBorders>
            <w:vAlign w:val="center"/>
          </w:tcPr>
          <w:p w14:paraId="5A273F5A" w14:textId="39B810C9" w:rsidR="006F3A92" w:rsidRPr="00617DF3" w:rsidRDefault="006F3A92" w:rsidP="0061135D">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0.31</w:t>
            </w:r>
          </w:p>
        </w:tc>
      </w:tr>
      <w:tr w:rsidR="003C6959" w:rsidRPr="00617DF3" w14:paraId="335F17F0" w14:textId="6E661AF0" w:rsidTr="00980900">
        <w:trPr>
          <w:trHeight w:val="431"/>
          <w:jc w:val="center"/>
        </w:trPr>
        <w:tc>
          <w:tcPr>
            <w:tcW w:w="3180" w:type="dxa"/>
            <w:noWrap/>
            <w:vAlign w:val="center"/>
            <w:hideMark/>
          </w:tcPr>
          <w:p w14:paraId="33B351B8" w14:textId="77777777" w:rsidR="006F3A92" w:rsidRPr="00617DF3" w:rsidRDefault="006F3A92" w:rsidP="0061135D">
            <w:pPr>
              <w:spacing w:after="0" w:line="240" w:lineRule="auto"/>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Recordación-Aplicación</w:t>
            </w:r>
          </w:p>
        </w:tc>
        <w:tc>
          <w:tcPr>
            <w:tcW w:w="1007" w:type="dxa"/>
            <w:noWrap/>
            <w:vAlign w:val="center"/>
            <w:hideMark/>
          </w:tcPr>
          <w:p w14:paraId="0152D6C4" w14:textId="6568B8F9" w:rsidR="006F3A92" w:rsidRPr="00617DF3" w:rsidRDefault="006F3A92" w:rsidP="0061135D">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-0.56</w:t>
            </w:r>
          </w:p>
        </w:tc>
        <w:tc>
          <w:tcPr>
            <w:tcW w:w="866" w:type="dxa"/>
            <w:noWrap/>
            <w:vAlign w:val="center"/>
            <w:hideMark/>
          </w:tcPr>
          <w:p w14:paraId="6205C54A" w14:textId="7D8D0D02" w:rsidR="006F3A92" w:rsidRPr="00617DF3" w:rsidRDefault="006F3A92" w:rsidP="0061135D">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0.12</w:t>
            </w:r>
          </w:p>
        </w:tc>
        <w:tc>
          <w:tcPr>
            <w:tcW w:w="1926" w:type="dxa"/>
            <w:noWrap/>
            <w:vAlign w:val="center"/>
            <w:hideMark/>
          </w:tcPr>
          <w:p w14:paraId="126E888B" w14:textId="50469CFC" w:rsidR="006F3A92" w:rsidRPr="00617DF3" w:rsidRDefault="006F3A92" w:rsidP="0061135D">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[-0.91,-0.21]</w:t>
            </w:r>
          </w:p>
        </w:tc>
        <w:tc>
          <w:tcPr>
            <w:tcW w:w="1536" w:type="dxa"/>
            <w:noWrap/>
            <w:vAlign w:val="center"/>
            <w:hideMark/>
          </w:tcPr>
          <w:p w14:paraId="7F246C63" w14:textId="34B6E295" w:rsidR="006F3A92" w:rsidRPr="00617DF3" w:rsidRDefault="006F3A92" w:rsidP="0061135D">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&lt; .001</w:t>
            </w:r>
          </w:p>
        </w:tc>
        <w:tc>
          <w:tcPr>
            <w:tcW w:w="868" w:type="dxa"/>
            <w:vAlign w:val="center"/>
          </w:tcPr>
          <w:p w14:paraId="5E2469C3" w14:textId="671F4DF6" w:rsidR="006F3A92" w:rsidRPr="00617DF3" w:rsidRDefault="006F3A92" w:rsidP="0061135D">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0.47</w:t>
            </w:r>
          </w:p>
        </w:tc>
      </w:tr>
      <w:tr w:rsidR="003C6959" w:rsidRPr="00617DF3" w14:paraId="76DB4336" w14:textId="3D22FB91" w:rsidTr="00980900">
        <w:trPr>
          <w:trHeight w:val="431"/>
          <w:jc w:val="center"/>
        </w:trPr>
        <w:tc>
          <w:tcPr>
            <w:tcW w:w="3180" w:type="dxa"/>
            <w:noWrap/>
            <w:vAlign w:val="center"/>
            <w:hideMark/>
          </w:tcPr>
          <w:p w14:paraId="62262355" w14:textId="77777777" w:rsidR="006F3A92" w:rsidRPr="00617DF3" w:rsidRDefault="006F3A92" w:rsidP="0061135D">
            <w:pPr>
              <w:spacing w:after="0" w:line="240" w:lineRule="auto"/>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Recordación-Análisis</w:t>
            </w:r>
          </w:p>
        </w:tc>
        <w:tc>
          <w:tcPr>
            <w:tcW w:w="1007" w:type="dxa"/>
            <w:noWrap/>
            <w:vAlign w:val="center"/>
            <w:hideMark/>
          </w:tcPr>
          <w:p w14:paraId="6C266937" w14:textId="36FEBC6C" w:rsidR="006F3A92" w:rsidRPr="00617DF3" w:rsidRDefault="006F3A92" w:rsidP="0061135D">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-0.73</w:t>
            </w:r>
          </w:p>
        </w:tc>
        <w:tc>
          <w:tcPr>
            <w:tcW w:w="866" w:type="dxa"/>
            <w:noWrap/>
            <w:vAlign w:val="center"/>
            <w:hideMark/>
          </w:tcPr>
          <w:p w14:paraId="189F4E0E" w14:textId="658F3DD8" w:rsidR="006F3A92" w:rsidRPr="00617DF3" w:rsidRDefault="006F3A92" w:rsidP="0061135D">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0.12</w:t>
            </w:r>
          </w:p>
        </w:tc>
        <w:tc>
          <w:tcPr>
            <w:tcW w:w="1926" w:type="dxa"/>
            <w:noWrap/>
            <w:vAlign w:val="center"/>
            <w:hideMark/>
          </w:tcPr>
          <w:p w14:paraId="3282384B" w14:textId="341625B0" w:rsidR="006F3A92" w:rsidRPr="00617DF3" w:rsidRDefault="006F3A92" w:rsidP="0061135D">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[-1.08, -0.37]</w:t>
            </w:r>
          </w:p>
        </w:tc>
        <w:tc>
          <w:tcPr>
            <w:tcW w:w="1536" w:type="dxa"/>
            <w:noWrap/>
            <w:vAlign w:val="center"/>
            <w:hideMark/>
          </w:tcPr>
          <w:p w14:paraId="16B9F43B" w14:textId="24858B94" w:rsidR="006F3A92" w:rsidRPr="00617DF3" w:rsidRDefault="006F3A92" w:rsidP="0061135D">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&lt; .001</w:t>
            </w:r>
          </w:p>
        </w:tc>
        <w:tc>
          <w:tcPr>
            <w:tcW w:w="868" w:type="dxa"/>
            <w:vAlign w:val="center"/>
          </w:tcPr>
          <w:p w14:paraId="0219CA30" w14:textId="75115355" w:rsidR="006F3A92" w:rsidRPr="00617DF3" w:rsidRDefault="006F3A92" w:rsidP="0061135D">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0.60</w:t>
            </w:r>
          </w:p>
        </w:tc>
      </w:tr>
      <w:tr w:rsidR="003C6959" w:rsidRPr="00617DF3" w14:paraId="2F2C8859" w14:textId="7CC12639" w:rsidTr="00980900">
        <w:trPr>
          <w:trHeight w:val="431"/>
          <w:jc w:val="center"/>
        </w:trPr>
        <w:tc>
          <w:tcPr>
            <w:tcW w:w="3180" w:type="dxa"/>
            <w:noWrap/>
            <w:vAlign w:val="center"/>
            <w:hideMark/>
          </w:tcPr>
          <w:p w14:paraId="54AE6F45" w14:textId="77777777" w:rsidR="006F3A92" w:rsidRPr="00617DF3" w:rsidRDefault="006F3A92" w:rsidP="0061135D">
            <w:pPr>
              <w:spacing w:after="0" w:line="240" w:lineRule="auto"/>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Recordación-Evaluación</w:t>
            </w:r>
          </w:p>
        </w:tc>
        <w:tc>
          <w:tcPr>
            <w:tcW w:w="1007" w:type="dxa"/>
            <w:noWrap/>
            <w:vAlign w:val="center"/>
            <w:hideMark/>
          </w:tcPr>
          <w:p w14:paraId="42EF7F43" w14:textId="324870BA" w:rsidR="006F3A92" w:rsidRPr="00617DF3" w:rsidRDefault="006F3A92" w:rsidP="0061135D">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-0.70</w:t>
            </w:r>
          </w:p>
        </w:tc>
        <w:tc>
          <w:tcPr>
            <w:tcW w:w="866" w:type="dxa"/>
            <w:noWrap/>
            <w:vAlign w:val="center"/>
            <w:hideMark/>
          </w:tcPr>
          <w:p w14:paraId="78F1F4F8" w14:textId="20195FBF" w:rsidR="006F3A92" w:rsidRPr="00617DF3" w:rsidRDefault="006F3A92" w:rsidP="0061135D">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0.11</w:t>
            </w:r>
          </w:p>
        </w:tc>
        <w:tc>
          <w:tcPr>
            <w:tcW w:w="1926" w:type="dxa"/>
            <w:noWrap/>
            <w:vAlign w:val="center"/>
            <w:hideMark/>
          </w:tcPr>
          <w:p w14:paraId="754FC0CE" w14:textId="087AE381" w:rsidR="006F3A92" w:rsidRPr="00617DF3" w:rsidRDefault="006F3A92" w:rsidP="0061135D">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[-1.04, -0.36]</w:t>
            </w:r>
          </w:p>
        </w:tc>
        <w:tc>
          <w:tcPr>
            <w:tcW w:w="1536" w:type="dxa"/>
            <w:noWrap/>
            <w:vAlign w:val="center"/>
            <w:hideMark/>
          </w:tcPr>
          <w:p w14:paraId="3A000E2C" w14:textId="1CDB6D01" w:rsidR="006F3A92" w:rsidRPr="00617DF3" w:rsidRDefault="006F3A92" w:rsidP="0061135D">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&lt; .001</w:t>
            </w:r>
          </w:p>
        </w:tc>
        <w:tc>
          <w:tcPr>
            <w:tcW w:w="868" w:type="dxa"/>
            <w:vAlign w:val="center"/>
          </w:tcPr>
          <w:p w14:paraId="18E4619B" w14:textId="1D14080D" w:rsidR="006F3A92" w:rsidRPr="00617DF3" w:rsidRDefault="006F3A92" w:rsidP="0061135D">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0.59</w:t>
            </w:r>
          </w:p>
        </w:tc>
      </w:tr>
      <w:tr w:rsidR="003C6959" w:rsidRPr="00617DF3" w14:paraId="14FBFCF6" w14:textId="58FEC190" w:rsidTr="00980900">
        <w:trPr>
          <w:trHeight w:val="431"/>
          <w:jc w:val="center"/>
        </w:trPr>
        <w:tc>
          <w:tcPr>
            <w:tcW w:w="3180" w:type="dxa"/>
            <w:noWrap/>
            <w:vAlign w:val="center"/>
            <w:hideMark/>
          </w:tcPr>
          <w:p w14:paraId="5A779A6B" w14:textId="77777777" w:rsidR="006F3A92" w:rsidRPr="00617DF3" w:rsidRDefault="006F3A92" w:rsidP="0061135D">
            <w:pPr>
              <w:spacing w:after="0" w:line="240" w:lineRule="auto"/>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Recordación-Creación</w:t>
            </w:r>
          </w:p>
        </w:tc>
        <w:tc>
          <w:tcPr>
            <w:tcW w:w="1007" w:type="dxa"/>
            <w:noWrap/>
            <w:vAlign w:val="center"/>
            <w:hideMark/>
          </w:tcPr>
          <w:p w14:paraId="396BDDC7" w14:textId="28F1862C" w:rsidR="006F3A92" w:rsidRPr="00617DF3" w:rsidRDefault="006F3A92" w:rsidP="0061135D">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-0.71</w:t>
            </w:r>
          </w:p>
        </w:tc>
        <w:tc>
          <w:tcPr>
            <w:tcW w:w="866" w:type="dxa"/>
            <w:noWrap/>
            <w:vAlign w:val="center"/>
            <w:hideMark/>
          </w:tcPr>
          <w:p w14:paraId="7A27EC23" w14:textId="54B51269" w:rsidR="006F3A92" w:rsidRPr="00617DF3" w:rsidRDefault="006F3A92" w:rsidP="0061135D">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0.12</w:t>
            </w:r>
          </w:p>
        </w:tc>
        <w:tc>
          <w:tcPr>
            <w:tcW w:w="1926" w:type="dxa"/>
            <w:noWrap/>
            <w:vAlign w:val="center"/>
            <w:hideMark/>
          </w:tcPr>
          <w:p w14:paraId="689AFA8A" w14:textId="52BA461D" w:rsidR="006F3A92" w:rsidRPr="00617DF3" w:rsidRDefault="006F3A92" w:rsidP="0061135D">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[-1.05, -0.36]</w:t>
            </w:r>
          </w:p>
        </w:tc>
        <w:tc>
          <w:tcPr>
            <w:tcW w:w="1536" w:type="dxa"/>
            <w:noWrap/>
            <w:vAlign w:val="center"/>
            <w:hideMark/>
          </w:tcPr>
          <w:p w14:paraId="07BDBCAD" w14:textId="4F209E6D" w:rsidR="006F3A92" w:rsidRPr="00617DF3" w:rsidRDefault="006F3A92" w:rsidP="0061135D">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&lt; .001</w:t>
            </w:r>
          </w:p>
        </w:tc>
        <w:tc>
          <w:tcPr>
            <w:tcW w:w="868" w:type="dxa"/>
            <w:vAlign w:val="center"/>
          </w:tcPr>
          <w:p w14:paraId="40548AED" w14:textId="77BCB0E6" w:rsidR="006F3A92" w:rsidRPr="00617DF3" w:rsidRDefault="006F3A92" w:rsidP="0061135D">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0.26</w:t>
            </w:r>
          </w:p>
        </w:tc>
      </w:tr>
      <w:tr w:rsidR="003C6959" w:rsidRPr="00617DF3" w14:paraId="5CA02224" w14:textId="1FCA7AC1" w:rsidTr="00980900">
        <w:trPr>
          <w:trHeight w:val="431"/>
          <w:jc w:val="center"/>
        </w:trPr>
        <w:tc>
          <w:tcPr>
            <w:tcW w:w="3180" w:type="dxa"/>
            <w:noWrap/>
            <w:vAlign w:val="center"/>
            <w:hideMark/>
          </w:tcPr>
          <w:p w14:paraId="2224211E" w14:textId="77777777" w:rsidR="006F3A92" w:rsidRPr="00617DF3" w:rsidRDefault="006F3A92" w:rsidP="0061135D">
            <w:pPr>
              <w:spacing w:after="0" w:line="240" w:lineRule="auto"/>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Comprensión-Análisis</w:t>
            </w:r>
          </w:p>
        </w:tc>
        <w:tc>
          <w:tcPr>
            <w:tcW w:w="1007" w:type="dxa"/>
            <w:noWrap/>
            <w:vAlign w:val="center"/>
            <w:hideMark/>
          </w:tcPr>
          <w:p w14:paraId="5F1734C4" w14:textId="3A152D9B" w:rsidR="006F3A92" w:rsidRPr="00617DF3" w:rsidRDefault="006F3A92" w:rsidP="0061135D">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-0.42</w:t>
            </w:r>
          </w:p>
        </w:tc>
        <w:tc>
          <w:tcPr>
            <w:tcW w:w="866" w:type="dxa"/>
            <w:noWrap/>
            <w:vAlign w:val="center"/>
            <w:hideMark/>
          </w:tcPr>
          <w:p w14:paraId="18503E3D" w14:textId="59836547" w:rsidR="006F3A92" w:rsidRPr="00617DF3" w:rsidRDefault="006F3A92" w:rsidP="0061135D">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0.12</w:t>
            </w:r>
          </w:p>
        </w:tc>
        <w:tc>
          <w:tcPr>
            <w:tcW w:w="1926" w:type="dxa"/>
            <w:noWrap/>
            <w:vAlign w:val="center"/>
            <w:hideMark/>
          </w:tcPr>
          <w:p w14:paraId="59706760" w14:textId="1812DF31" w:rsidR="006F3A92" w:rsidRPr="00617DF3" w:rsidRDefault="006F3A92" w:rsidP="0061135D">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[-0.76, -0.07]</w:t>
            </w:r>
          </w:p>
        </w:tc>
        <w:tc>
          <w:tcPr>
            <w:tcW w:w="1536" w:type="dxa"/>
            <w:noWrap/>
            <w:vAlign w:val="center"/>
            <w:hideMark/>
          </w:tcPr>
          <w:p w14:paraId="0F8E2EA5" w14:textId="25525EFB" w:rsidR="006F3A92" w:rsidRPr="00617DF3" w:rsidRDefault="006F3A92" w:rsidP="0061135D">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0.008</w:t>
            </w:r>
          </w:p>
        </w:tc>
        <w:tc>
          <w:tcPr>
            <w:tcW w:w="868" w:type="dxa"/>
            <w:vAlign w:val="center"/>
          </w:tcPr>
          <w:p w14:paraId="35D4146E" w14:textId="64127802" w:rsidR="006F3A92" w:rsidRPr="00617DF3" w:rsidRDefault="006F3A92" w:rsidP="0061135D">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0.37</w:t>
            </w:r>
          </w:p>
        </w:tc>
      </w:tr>
      <w:tr w:rsidR="003C6959" w:rsidRPr="00617DF3" w14:paraId="3DC2EEB2" w14:textId="292199D6" w:rsidTr="00980900">
        <w:trPr>
          <w:trHeight w:val="431"/>
          <w:jc w:val="center"/>
        </w:trPr>
        <w:tc>
          <w:tcPr>
            <w:tcW w:w="3180" w:type="dxa"/>
            <w:noWrap/>
            <w:vAlign w:val="center"/>
            <w:hideMark/>
          </w:tcPr>
          <w:p w14:paraId="064AB3BF" w14:textId="77777777" w:rsidR="006F3A92" w:rsidRPr="00617DF3" w:rsidRDefault="006F3A92" w:rsidP="0061135D">
            <w:pPr>
              <w:spacing w:after="0" w:line="240" w:lineRule="auto"/>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Comprensión-Evaluación</w:t>
            </w:r>
          </w:p>
        </w:tc>
        <w:tc>
          <w:tcPr>
            <w:tcW w:w="1007" w:type="dxa"/>
            <w:noWrap/>
            <w:vAlign w:val="center"/>
            <w:hideMark/>
          </w:tcPr>
          <w:p w14:paraId="7ADE52BE" w14:textId="3392C0BD" w:rsidR="006F3A92" w:rsidRPr="00617DF3" w:rsidRDefault="006F3A92" w:rsidP="0061135D">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-0.39</w:t>
            </w:r>
          </w:p>
        </w:tc>
        <w:tc>
          <w:tcPr>
            <w:tcW w:w="866" w:type="dxa"/>
            <w:noWrap/>
            <w:vAlign w:val="center"/>
            <w:hideMark/>
          </w:tcPr>
          <w:p w14:paraId="3E19313E" w14:textId="1FF8EE99" w:rsidR="006F3A92" w:rsidRPr="00617DF3" w:rsidRDefault="006F3A92" w:rsidP="0061135D">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0.12</w:t>
            </w:r>
          </w:p>
        </w:tc>
        <w:tc>
          <w:tcPr>
            <w:tcW w:w="1926" w:type="dxa"/>
            <w:noWrap/>
            <w:vAlign w:val="center"/>
            <w:hideMark/>
          </w:tcPr>
          <w:p w14:paraId="6782F8DA" w14:textId="3A145250" w:rsidR="006F3A92" w:rsidRPr="00617DF3" w:rsidRDefault="006F3A92" w:rsidP="0061135D">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[-0.74, -0.04]</w:t>
            </w:r>
          </w:p>
        </w:tc>
        <w:tc>
          <w:tcPr>
            <w:tcW w:w="1536" w:type="dxa"/>
            <w:noWrap/>
            <w:vAlign w:val="center"/>
            <w:hideMark/>
          </w:tcPr>
          <w:p w14:paraId="40BA14F6" w14:textId="6B4C7187" w:rsidR="006F3A92" w:rsidRPr="00617DF3" w:rsidRDefault="006F3A92" w:rsidP="0061135D">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0.017</w:t>
            </w:r>
          </w:p>
        </w:tc>
        <w:tc>
          <w:tcPr>
            <w:tcW w:w="868" w:type="dxa"/>
            <w:vAlign w:val="center"/>
          </w:tcPr>
          <w:p w14:paraId="09177E90" w14:textId="6EAC38E2" w:rsidR="006F3A92" w:rsidRPr="00617DF3" w:rsidRDefault="006F3A92" w:rsidP="0061135D">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0.32</w:t>
            </w:r>
          </w:p>
        </w:tc>
      </w:tr>
      <w:tr w:rsidR="003C6959" w:rsidRPr="00617DF3" w14:paraId="43FC0455" w14:textId="7DD9B108" w:rsidTr="00980900">
        <w:trPr>
          <w:trHeight w:val="431"/>
          <w:jc w:val="center"/>
        </w:trPr>
        <w:tc>
          <w:tcPr>
            <w:tcW w:w="3180" w:type="dxa"/>
            <w:noWrap/>
            <w:vAlign w:val="center"/>
            <w:hideMark/>
          </w:tcPr>
          <w:p w14:paraId="7A4BE785" w14:textId="77777777" w:rsidR="006F3A92" w:rsidRPr="00617DF3" w:rsidRDefault="006F3A92" w:rsidP="0061135D">
            <w:pPr>
              <w:spacing w:after="0" w:line="240" w:lineRule="auto"/>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Comprensión-Creación</w:t>
            </w:r>
          </w:p>
        </w:tc>
        <w:tc>
          <w:tcPr>
            <w:tcW w:w="1007" w:type="dxa"/>
            <w:noWrap/>
            <w:vAlign w:val="center"/>
            <w:hideMark/>
          </w:tcPr>
          <w:p w14:paraId="4CFDD6BF" w14:textId="600F2538" w:rsidR="006F3A92" w:rsidRPr="00617DF3" w:rsidRDefault="006F3A92" w:rsidP="0061135D">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-0.40</w:t>
            </w:r>
          </w:p>
        </w:tc>
        <w:tc>
          <w:tcPr>
            <w:tcW w:w="866" w:type="dxa"/>
            <w:noWrap/>
            <w:vAlign w:val="center"/>
            <w:hideMark/>
          </w:tcPr>
          <w:p w14:paraId="412439EC" w14:textId="4013BD92" w:rsidR="006F3A92" w:rsidRPr="00617DF3" w:rsidRDefault="006F3A92" w:rsidP="0061135D">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0.11</w:t>
            </w:r>
          </w:p>
        </w:tc>
        <w:tc>
          <w:tcPr>
            <w:tcW w:w="1926" w:type="dxa"/>
            <w:noWrap/>
            <w:vAlign w:val="center"/>
            <w:hideMark/>
          </w:tcPr>
          <w:p w14:paraId="25CEF917" w14:textId="017F36CA" w:rsidR="006F3A92" w:rsidRPr="00617DF3" w:rsidRDefault="006F3A92" w:rsidP="0061135D">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[-0.72, -0.07]</w:t>
            </w:r>
          </w:p>
        </w:tc>
        <w:tc>
          <w:tcPr>
            <w:tcW w:w="1536" w:type="dxa"/>
            <w:noWrap/>
            <w:vAlign w:val="center"/>
            <w:hideMark/>
          </w:tcPr>
          <w:p w14:paraId="1A90E709" w14:textId="39E3C3EB" w:rsidR="006F3A92" w:rsidRPr="00617DF3" w:rsidRDefault="006F3A92" w:rsidP="0061135D">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0.006</w:t>
            </w:r>
          </w:p>
        </w:tc>
        <w:tc>
          <w:tcPr>
            <w:tcW w:w="868" w:type="dxa"/>
            <w:vAlign w:val="center"/>
          </w:tcPr>
          <w:p w14:paraId="23698462" w14:textId="71DFE10D" w:rsidR="006F3A92" w:rsidRPr="00617DF3" w:rsidRDefault="006F3A92" w:rsidP="0061135D">
            <w:pPr>
              <w:spacing w:after="0" w:line="240" w:lineRule="auto"/>
              <w:jc w:val="center"/>
              <w:rPr>
                <w:rFonts w:ascii="Times New Roman" w:eastAsia="Times New Roman" w:hAnsi="Times New Roman" w:cs="Times New Roman"/>
                <w:kern w:val="0"/>
                <w:sz w:val="24"/>
                <w:szCs w:val="24"/>
                <w:lang w:eastAsia="es-MX"/>
                <w14:ligatures w14:val="none"/>
              </w:rPr>
            </w:pPr>
            <w:r w:rsidRPr="00617DF3">
              <w:rPr>
                <w:rFonts w:ascii="Times New Roman" w:eastAsia="Times New Roman" w:hAnsi="Times New Roman" w:cs="Times New Roman"/>
                <w:kern w:val="0"/>
                <w:sz w:val="24"/>
                <w:szCs w:val="24"/>
                <w:lang w:eastAsia="es-MX"/>
                <w14:ligatures w14:val="none"/>
              </w:rPr>
              <w:t>0.35</w:t>
            </w:r>
          </w:p>
        </w:tc>
      </w:tr>
    </w:tbl>
    <w:p w14:paraId="3B2D52A0" w14:textId="77777777" w:rsidR="00985111" w:rsidRPr="0061135D" w:rsidRDefault="00985111" w:rsidP="003C6959">
      <w:pPr>
        <w:spacing w:after="0" w:line="240" w:lineRule="auto"/>
        <w:jc w:val="center"/>
        <w:rPr>
          <w:rFonts w:ascii="Times New Roman" w:hAnsi="Times New Roman" w:cs="Times New Roman"/>
          <w:sz w:val="24"/>
          <w:szCs w:val="24"/>
        </w:rPr>
      </w:pPr>
      <w:r w:rsidRPr="0061135D">
        <w:rPr>
          <w:rFonts w:ascii="Times New Roman" w:hAnsi="Times New Roman" w:cs="Times New Roman"/>
          <w:sz w:val="24"/>
          <w:szCs w:val="24"/>
        </w:rPr>
        <w:t>Fuente: Elaboración propia</w:t>
      </w:r>
    </w:p>
    <w:p w14:paraId="4CB5EB52" w14:textId="77777777" w:rsidR="00362010" w:rsidRPr="00617DF3" w:rsidRDefault="00362010" w:rsidP="003C6959">
      <w:pPr>
        <w:spacing w:after="0" w:line="240" w:lineRule="auto"/>
        <w:jc w:val="both"/>
        <w:rPr>
          <w:rFonts w:ascii="Times New Roman" w:hAnsi="Times New Roman" w:cs="Times New Roman"/>
          <w:sz w:val="24"/>
          <w:szCs w:val="24"/>
        </w:rPr>
      </w:pPr>
    </w:p>
    <w:p w14:paraId="3368DB7E" w14:textId="3815CCC8" w:rsidR="00307796" w:rsidRPr="00617DF3" w:rsidRDefault="00C02DBE" w:rsidP="003C6959">
      <w:pPr>
        <w:spacing w:after="0" w:line="240" w:lineRule="auto"/>
        <w:jc w:val="both"/>
        <w:rPr>
          <w:rFonts w:ascii="Times New Roman" w:hAnsi="Times New Roman" w:cs="Times New Roman"/>
          <w:sz w:val="24"/>
          <w:szCs w:val="24"/>
        </w:rPr>
      </w:pPr>
      <w:r w:rsidRPr="00617DF3">
        <w:rPr>
          <w:rFonts w:ascii="Times New Roman" w:hAnsi="Times New Roman" w:cs="Times New Roman"/>
          <w:sz w:val="24"/>
          <w:szCs w:val="24"/>
        </w:rPr>
        <w:t xml:space="preserve">En conjunto, los resultados indican </w:t>
      </w:r>
      <w:r w:rsidR="002B6BAA" w:rsidRPr="00617DF3">
        <w:rPr>
          <w:rFonts w:ascii="Times New Roman" w:hAnsi="Times New Roman" w:cs="Times New Roman"/>
          <w:sz w:val="24"/>
          <w:szCs w:val="24"/>
        </w:rPr>
        <w:t>un ni</w:t>
      </w:r>
      <w:r w:rsidR="00954CEA" w:rsidRPr="00617DF3">
        <w:rPr>
          <w:rFonts w:ascii="Times New Roman" w:hAnsi="Times New Roman" w:cs="Times New Roman"/>
          <w:sz w:val="24"/>
          <w:szCs w:val="24"/>
        </w:rPr>
        <w:t>vel superior a 5.4</w:t>
      </w:r>
      <w:r w:rsidR="00D51F16" w:rsidRPr="00617DF3">
        <w:rPr>
          <w:rFonts w:ascii="Times New Roman" w:hAnsi="Times New Roman" w:cs="Times New Roman"/>
          <w:sz w:val="24"/>
          <w:szCs w:val="24"/>
        </w:rPr>
        <w:t>0</w:t>
      </w:r>
      <w:r w:rsidR="002B6BAA" w:rsidRPr="00617DF3">
        <w:rPr>
          <w:rFonts w:ascii="Times New Roman" w:hAnsi="Times New Roman" w:cs="Times New Roman"/>
          <w:sz w:val="24"/>
          <w:szCs w:val="24"/>
        </w:rPr>
        <w:t xml:space="preserve"> en todos los niveles de</w:t>
      </w:r>
      <w:r w:rsidR="00AE0A82" w:rsidRPr="00617DF3">
        <w:rPr>
          <w:rFonts w:ascii="Times New Roman" w:hAnsi="Times New Roman" w:cs="Times New Roman"/>
          <w:sz w:val="24"/>
          <w:szCs w:val="24"/>
        </w:rPr>
        <w:t xml:space="preserve"> la taxonomía de</w:t>
      </w:r>
      <w:r w:rsidR="002B6BAA" w:rsidRPr="00617DF3">
        <w:rPr>
          <w:rFonts w:ascii="Times New Roman" w:hAnsi="Times New Roman" w:cs="Times New Roman"/>
          <w:sz w:val="24"/>
          <w:szCs w:val="24"/>
        </w:rPr>
        <w:t xml:space="preserve"> Bloom </w:t>
      </w:r>
      <w:r w:rsidR="007B2D33" w:rsidRPr="00617DF3">
        <w:rPr>
          <w:rFonts w:ascii="Times New Roman" w:hAnsi="Times New Roman" w:cs="Times New Roman"/>
          <w:sz w:val="24"/>
          <w:szCs w:val="24"/>
        </w:rPr>
        <w:t>desde el</w:t>
      </w:r>
      <w:r w:rsidRPr="00617DF3">
        <w:rPr>
          <w:rFonts w:ascii="Times New Roman" w:hAnsi="Times New Roman" w:cs="Times New Roman"/>
          <w:sz w:val="24"/>
          <w:szCs w:val="24"/>
        </w:rPr>
        <w:t xml:space="preserve"> recuerdo y la comprensión básica </w:t>
      </w:r>
      <w:r w:rsidR="002B6BAA" w:rsidRPr="00617DF3">
        <w:rPr>
          <w:rFonts w:ascii="Times New Roman" w:hAnsi="Times New Roman" w:cs="Times New Roman"/>
          <w:sz w:val="24"/>
          <w:szCs w:val="24"/>
        </w:rPr>
        <w:t xml:space="preserve">hasta </w:t>
      </w:r>
      <w:r w:rsidRPr="00617DF3">
        <w:rPr>
          <w:rFonts w:ascii="Times New Roman" w:hAnsi="Times New Roman" w:cs="Times New Roman"/>
          <w:sz w:val="24"/>
          <w:szCs w:val="24"/>
        </w:rPr>
        <w:t xml:space="preserve">las tareas de máxima complejidad. </w:t>
      </w:r>
      <w:r w:rsidR="001075D4" w:rsidRPr="00617DF3">
        <w:rPr>
          <w:rFonts w:ascii="Times New Roman" w:hAnsi="Times New Roman" w:cs="Times New Roman"/>
          <w:sz w:val="24"/>
          <w:szCs w:val="24"/>
        </w:rPr>
        <w:t>Adicionalmente</w:t>
      </w:r>
      <w:r w:rsidR="007B2D33" w:rsidRPr="00617DF3">
        <w:rPr>
          <w:rFonts w:ascii="Times New Roman" w:hAnsi="Times New Roman" w:cs="Times New Roman"/>
          <w:sz w:val="24"/>
          <w:szCs w:val="24"/>
        </w:rPr>
        <w:t>, la aplicación de neuro</w:t>
      </w:r>
      <w:r w:rsidR="00EA6BC3" w:rsidRPr="00617DF3">
        <w:rPr>
          <w:rFonts w:ascii="Times New Roman" w:hAnsi="Times New Roman" w:cs="Times New Roman"/>
          <w:sz w:val="24"/>
          <w:szCs w:val="24"/>
        </w:rPr>
        <w:t>marketing</w:t>
      </w:r>
      <w:r w:rsidR="007B2D33" w:rsidRPr="00617DF3">
        <w:rPr>
          <w:rFonts w:ascii="Times New Roman" w:hAnsi="Times New Roman" w:cs="Times New Roman"/>
          <w:sz w:val="24"/>
          <w:szCs w:val="24"/>
        </w:rPr>
        <w:t xml:space="preserve"> en actividades experienciales sugiere un </w:t>
      </w:r>
      <w:r w:rsidRPr="00617DF3">
        <w:rPr>
          <w:rFonts w:ascii="Times New Roman" w:hAnsi="Times New Roman" w:cs="Times New Roman"/>
          <w:sz w:val="24"/>
          <w:szCs w:val="24"/>
        </w:rPr>
        <w:t xml:space="preserve">patrón </w:t>
      </w:r>
      <w:r w:rsidR="007B2D33" w:rsidRPr="00617DF3">
        <w:rPr>
          <w:rFonts w:ascii="Times New Roman" w:hAnsi="Times New Roman" w:cs="Times New Roman"/>
          <w:sz w:val="24"/>
          <w:szCs w:val="24"/>
        </w:rPr>
        <w:t>de</w:t>
      </w:r>
      <w:r w:rsidR="00864CA2" w:rsidRPr="00617DF3">
        <w:rPr>
          <w:rFonts w:ascii="Times New Roman" w:hAnsi="Times New Roman" w:cs="Times New Roman"/>
          <w:sz w:val="24"/>
          <w:szCs w:val="24"/>
        </w:rPr>
        <w:t xml:space="preserve"> incremento </w:t>
      </w:r>
      <w:r w:rsidRPr="00617DF3">
        <w:rPr>
          <w:rFonts w:ascii="Times New Roman" w:hAnsi="Times New Roman" w:cs="Times New Roman"/>
          <w:sz w:val="24"/>
          <w:szCs w:val="24"/>
        </w:rPr>
        <w:t>a partir de niveles intermedios en adelante.</w:t>
      </w:r>
    </w:p>
    <w:p w14:paraId="6A1F2742" w14:textId="77777777" w:rsidR="003D075C" w:rsidRPr="00617DF3" w:rsidRDefault="003D075C" w:rsidP="003C6959">
      <w:pPr>
        <w:spacing w:after="0" w:line="240" w:lineRule="auto"/>
        <w:jc w:val="both"/>
        <w:rPr>
          <w:rFonts w:ascii="Times New Roman" w:hAnsi="Times New Roman" w:cs="Times New Roman"/>
          <w:sz w:val="24"/>
          <w:szCs w:val="24"/>
        </w:rPr>
      </w:pPr>
    </w:p>
    <w:p w14:paraId="0E633836" w14:textId="40489284" w:rsidR="00A85735" w:rsidRPr="00617DF3" w:rsidRDefault="000531FD" w:rsidP="003C6959">
      <w:pPr>
        <w:spacing w:after="0" w:line="240" w:lineRule="auto"/>
        <w:jc w:val="center"/>
        <w:rPr>
          <w:rFonts w:ascii="Times New Roman" w:hAnsi="Times New Roman" w:cs="Times New Roman"/>
          <w:b/>
          <w:bCs/>
          <w:sz w:val="24"/>
          <w:szCs w:val="24"/>
        </w:rPr>
      </w:pPr>
      <w:r w:rsidRPr="00617DF3">
        <w:rPr>
          <w:rFonts w:ascii="Times New Roman" w:hAnsi="Times New Roman" w:cs="Times New Roman"/>
          <w:b/>
          <w:bCs/>
          <w:sz w:val="24"/>
          <w:szCs w:val="24"/>
        </w:rPr>
        <w:t>Discusión</w:t>
      </w:r>
    </w:p>
    <w:p w14:paraId="0F702305" w14:textId="77777777" w:rsidR="00A85735" w:rsidRPr="00617DF3" w:rsidRDefault="00A85735" w:rsidP="003C6959">
      <w:pPr>
        <w:spacing w:after="0" w:line="240" w:lineRule="auto"/>
        <w:jc w:val="both"/>
        <w:rPr>
          <w:rFonts w:ascii="Times New Roman" w:hAnsi="Times New Roman" w:cs="Times New Roman"/>
          <w:sz w:val="24"/>
          <w:szCs w:val="24"/>
        </w:rPr>
      </w:pPr>
    </w:p>
    <w:p w14:paraId="43398443" w14:textId="2EF452C9" w:rsidR="00472D63" w:rsidRPr="00617DF3" w:rsidRDefault="00AC67AD" w:rsidP="0061135D">
      <w:pPr>
        <w:spacing w:after="0" w:line="240" w:lineRule="auto"/>
        <w:ind w:firstLine="708"/>
        <w:jc w:val="both"/>
        <w:rPr>
          <w:rFonts w:ascii="Times New Roman" w:hAnsi="Times New Roman" w:cs="Times New Roman"/>
          <w:sz w:val="24"/>
          <w:szCs w:val="24"/>
        </w:rPr>
      </w:pPr>
      <w:r w:rsidRPr="00617DF3">
        <w:rPr>
          <w:rFonts w:ascii="Times New Roman" w:hAnsi="Times New Roman" w:cs="Times New Roman"/>
          <w:sz w:val="24"/>
          <w:szCs w:val="24"/>
        </w:rPr>
        <w:t>La neurocienc</w:t>
      </w:r>
      <w:r w:rsidR="00B628B3" w:rsidRPr="00617DF3">
        <w:rPr>
          <w:rFonts w:ascii="Times New Roman" w:hAnsi="Times New Roman" w:cs="Times New Roman"/>
          <w:sz w:val="24"/>
          <w:szCs w:val="24"/>
        </w:rPr>
        <w:t>i</w:t>
      </w:r>
      <w:r w:rsidRPr="00617DF3">
        <w:rPr>
          <w:rFonts w:ascii="Times New Roman" w:hAnsi="Times New Roman" w:cs="Times New Roman"/>
          <w:sz w:val="24"/>
          <w:szCs w:val="24"/>
        </w:rPr>
        <w:t>a aplicada en el aprendizaje</w:t>
      </w:r>
      <w:r w:rsidR="00E06ED1" w:rsidRPr="00617DF3">
        <w:rPr>
          <w:rFonts w:ascii="Times New Roman" w:hAnsi="Times New Roman" w:cs="Times New Roman"/>
          <w:sz w:val="24"/>
          <w:szCs w:val="24"/>
        </w:rPr>
        <w:t xml:space="preserve"> ha generado un gran interés.</w:t>
      </w:r>
      <w:r w:rsidRPr="00617DF3">
        <w:rPr>
          <w:rFonts w:ascii="Times New Roman" w:hAnsi="Times New Roman" w:cs="Times New Roman"/>
          <w:sz w:val="24"/>
          <w:szCs w:val="24"/>
        </w:rPr>
        <w:t xml:space="preserve"> </w:t>
      </w:r>
      <w:r w:rsidR="00C00646" w:rsidRPr="00617DF3">
        <w:rPr>
          <w:rFonts w:ascii="Times New Roman" w:hAnsi="Times New Roman" w:cs="Times New Roman"/>
          <w:sz w:val="24"/>
          <w:szCs w:val="24"/>
        </w:rPr>
        <w:t>E</w:t>
      </w:r>
      <w:r w:rsidR="00D00CB2" w:rsidRPr="00617DF3">
        <w:rPr>
          <w:rFonts w:ascii="Times New Roman" w:hAnsi="Times New Roman" w:cs="Times New Roman"/>
          <w:sz w:val="24"/>
          <w:szCs w:val="24"/>
        </w:rPr>
        <w:t xml:space="preserve">ste estudio </w:t>
      </w:r>
      <w:r w:rsidR="007A41AF" w:rsidRPr="00617DF3">
        <w:rPr>
          <w:rFonts w:ascii="Times New Roman" w:hAnsi="Times New Roman" w:cs="Times New Roman"/>
          <w:sz w:val="24"/>
          <w:szCs w:val="24"/>
        </w:rPr>
        <w:t>complementa el</w:t>
      </w:r>
      <w:r w:rsidR="00D00CB2" w:rsidRPr="00617DF3">
        <w:rPr>
          <w:rFonts w:ascii="Times New Roman" w:hAnsi="Times New Roman" w:cs="Times New Roman"/>
          <w:sz w:val="24"/>
          <w:szCs w:val="24"/>
        </w:rPr>
        <w:t xml:space="preserve"> cuerpo de investigación que aplica instrumentos de neuro</w:t>
      </w:r>
      <w:r w:rsidR="00EA6BC3" w:rsidRPr="00617DF3">
        <w:rPr>
          <w:rFonts w:ascii="Times New Roman" w:hAnsi="Times New Roman" w:cs="Times New Roman"/>
          <w:sz w:val="24"/>
          <w:szCs w:val="24"/>
        </w:rPr>
        <w:t>marketing</w:t>
      </w:r>
      <w:r w:rsidR="00D00CB2" w:rsidRPr="00617DF3">
        <w:rPr>
          <w:rFonts w:ascii="Times New Roman" w:hAnsi="Times New Roman" w:cs="Times New Roman"/>
          <w:sz w:val="24"/>
          <w:szCs w:val="24"/>
        </w:rPr>
        <w:t xml:space="preserve"> para examinar procesos cognitivos en contextos educativos</w:t>
      </w:r>
      <w:r w:rsidR="00737F8B" w:rsidRPr="00617DF3">
        <w:rPr>
          <w:rFonts w:ascii="Times New Roman" w:hAnsi="Times New Roman" w:cs="Times New Roman"/>
          <w:sz w:val="24"/>
          <w:szCs w:val="24"/>
        </w:rPr>
        <w:t xml:space="preserve"> que involucran actividades experienciales</w:t>
      </w:r>
      <w:r w:rsidR="00D00CB2" w:rsidRPr="00617DF3">
        <w:rPr>
          <w:rFonts w:ascii="Times New Roman" w:hAnsi="Times New Roman" w:cs="Times New Roman"/>
          <w:sz w:val="24"/>
          <w:szCs w:val="24"/>
        </w:rPr>
        <w:t xml:space="preserve">. En un laboratorio se utilizaron </w:t>
      </w:r>
      <w:r w:rsidR="00040BF0" w:rsidRPr="00617DF3">
        <w:rPr>
          <w:rFonts w:ascii="Times New Roman" w:hAnsi="Times New Roman" w:cs="Times New Roman"/>
          <w:sz w:val="24"/>
          <w:szCs w:val="24"/>
        </w:rPr>
        <w:t>los dispositivos de</w:t>
      </w:r>
      <w:r w:rsidR="00F82C13" w:rsidRPr="00617DF3">
        <w:rPr>
          <w:rFonts w:ascii="Times New Roman" w:hAnsi="Times New Roman" w:cs="Times New Roman"/>
          <w:sz w:val="24"/>
          <w:szCs w:val="24"/>
        </w:rPr>
        <w:t xml:space="preserve"> GSR</w:t>
      </w:r>
      <w:r w:rsidR="00D00CB2" w:rsidRPr="00617DF3">
        <w:rPr>
          <w:rFonts w:ascii="Times New Roman" w:hAnsi="Times New Roman" w:cs="Times New Roman"/>
          <w:sz w:val="24"/>
          <w:szCs w:val="24"/>
        </w:rPr>
        <w:t xml:space="preserve"> y </w:t>
      </w:r>
      <w:r w:rsidR="00040BF0" w:rsidRPr="00617DF3">
        <w:rPr>
          <w:rFonts w:ascii="Times New Roman" w:hAnsi="Times New Roman" w:cs="Times New Roman"/>
          <w:sz w:val="24"/>
          <w:szCs w:val="24"/>
        </w:rPr>
        <w:t>de</w:t>
      </w:r>
      <w:r w:rsidR="00F82C13" w:rsidRPr="00617DF3">
        <w:rPr>
          <w:rFonts w:ascii="Times New Roman" w:hAnsi="Times New Roman" w:cs="Times New Roman"/>
          <w:sz w:val="24"/>
          <w:szCs w:val="24"/>
        </w:rPr>
        <w:t xml:space="preserve"> </w:t>
      </w:r>
      <w:r w:rsidR="00D00CB2" w:rsidRPr="00617DF3">
        <w:rPr>
          <w:rFonts w:ascii="Times New Roman" w:hAnsi="Times New Roman" w:cs="Times New Roman"/>
          <w:sz w:val="24"/>
          <w:szCs w:val="24"/>
        </w:rPr>
        <w:t xml:space="preserve">seguimiento ocular </w:t>
      </w:r>
      <w:r w:rsidR="00CB7287" w:rsidRPr="00617DF3">
        <w:rPr>
          <w:rFonts w:ascii="Times New Roman" w:hAnsi="Times New Roman" w:cs="Times New Roman"/>
          <w:sz w:val="24"/>
          <w:szCs w:val="24"/>
        </w:rPr>
        <w:t>(</w:t>
      </w:r>
      <w:proofErr w:type="spellStart"/>
      <w:r w:rsidR="00CB7287" w:rsidRPr="00617DF3">
        <w:rPr>
          <w:rFonts w:ascii="Times New Roman" w:hAnsi="Times New Roman" w:cs="Times New Roman"/>
          <w:sz w:val="24"/>
          <w:szCs w:val="24"/>
        </w:rPr>
        <w:t>eye</w:t>
      </w:r>
      <w:proofErr w:type="spellEnd"/>
      <w:r w:rsidR="00CB7287" w:rsidRPr="00617DF3">
        <w:rPr>
          <w:rFonts w:ascii="Times New Roman" w:hAnsi="Times New Roman" w:cs="Times New Roman"/>
          <w:sz w:val="24"/>
          <w:szCs w:val="24"/>
        </w:rPr>
        <w:t xml:space="preserve">-tracking) </w:t>
      </w:r>
      <w:r w:rsidR="00D00CB2" w:rsidRPr="00617DF3">
        <w:rPr>
          <w:rFonts w:ascii="Times New Roman" w:hAnsi="Times New Roman" w:cs="Times New Roman"/>
          <w:sz w:val="24"/>
          <w:szCs w:val="24"/>
        </w:rPr>
        <w:t>dentro de un diseño de aprendizaje experiencial.</w:t>
      </w:r>
    </w:p>
    <w:p w14:paraId="11917D21" w14:textId="77777777" w:rsidR="00472D63" w:rsidRPr="00617DF3" w:rsidRDefault="00472D63" w:rsidP="003C6959">
      <w:pPr>
        <w:spacing w:after="0" w:line="240" w:lineRule="auto"/>
        <w:ind w:firstLine="284"/>
        <w:jc w:val="both"/>
        <w:rPr>
          <w:rFonts w:ascii="Times New Roman" w:hAnsi="Times New Roman" w:cs="Times New Roman"/>
          <w:sz w:val="24"/>
          <w:szCs w:val="24"/>
        </w:rPr>
      </w:pPr>
    </w:p>
    <w:p w14:paraId="75915DE2" w14:textId="4481839B" w:rsidR="00462265" w:rsidRPr="00617DF3" w:rsidRDefault="00D00CB2" w:rsidP="003C6959">
      <w:pPr>
        <w:spacing w:after="0" w:line="240" w:lineRule="auto"/>
        <w:jc w:val="both"/>
        <w:rPr>
          <w:rFonts w:ascii="Times New Roman" w:hAnsi="Times New Roman" w:cs="Times New Roman"/>
          <w:sz w:val="24"/>
          <w:szCs w:val="24"/>
        </w:rPr>
      </w:pPr>
      <w:r w:rsidRPr="00617DF3">
        <w:rPr>
          <w:rFonts w:ascii="Times New Roman" w:hAnsi="Times New Roman" w:cs="Times New Roman"/>
          <w:sz w:val="24"/>
          <w:szCs w:val="24"/>
        </w:rPr>
        <w:t xml:space="preserve">Los hallazgos confirman que el modelo jerárquico de Bloom refleja con precisión niveles progresivos de demanda cognitiva, con respuestas más intensas durante tareas de </w:t>
      </w:r>
      <w:r w:rsidR="00AE62AD" w:rsidRPr="00617DF3">
        <w:rPr>
          <w:rFonts w:ascii="Times New Roman" w:hAnsi="Times New Roman" w:cs="Times New Roman"/>
          <w:sz w:val="24"/>
          <w:szCs w:val="24"/>
        </w:rPr>
        <w:t>A</w:t>
      </w:r>
      <w:r w:rsidR="00993BF6" w:rsidRPr="00617DF3">
        <w:rPr>
          <w:rFonts w:ascii="Times New Roman" w:hAnsi="Times New Roman" w:cs="Times New Roman"/>
          <w:sz w:val="24"/>
          <w:szCs w:val="24"/>
        </w:rPr>
        <w:t xml:space="preserve">nálisis, </w:t>
      </w:r>
      <w:r w:rsidR="00AE62AD" w:rsidRPr="00617DF3">
        <w:rPr>
          <w:rFonts w:ascii="Times New Roman" w:hAnsi="Times New Roman" w:cs="Times New Roman"/>
          <w:sz w:val="24"/>
          <w:szCs w:val="24"/>
        </w:rPr>
        <w:t>E</w:t>
      </w:r>
      <w:r w:rsidRPr="00617DF3">
        <w:rPr>
          <w:rFonts w:ascii="Times New Roman" w:hAnsi="Times New Roman" w:cs="Times New Roman"/>
          <w:sz w:val="24"/>
          <w:szCs w:val="24"/>
        </w:rPr>
        <w:t xml:space="preserve">valuación y </w:t>
      </w:r>
      <w:r w:rsidR="00AE62AD" w:rsidRPr="00617DF3">
        <w:rPr>
          <w:rFonts w:ascii="Times New Roman" w:hAnsi="Times New Roman" w:cs="Times New Roman"/>
          <w:sz w:val="24"/>
          <w:szCs w:val="24"/>
        </w:rPr>
        <w:t>C</w:t>
      </w:r>
      <w:r w:rsidRPr="00617DF3">
        <w:rPr>
          <w:rFonts w:ascii="Times New Roman" w:hAnsi="Times New Roman" w:cs="Times New Roman"/>
          <w:sz w:val="24"/>
          <w:szCs w:val="24"/>
        </w:rPr>
        <w:t>reación</w:t>
      </w:r>
      <w:r w:rsidR="003B1160" w:rsidRPr="00617DF3">
        <w:rPr>
          <w:rFonts w:ascii="Times New Roman" w:hAnsi="Times New Roman" w:cs="Times New Roman"/>
          <w:sz w:val="24"/>
          <w:szCs w:val="24"/>
        </w:rPr>
        <w:t xml:space="preserve"> (medias superiores a </w:t>
      </w:r>
      <w:r w:rsidR="008B273F" w:rsidRPr="00617DF3">
        <w:rPr>
          <w:rFonts w:ascii="Times New Roman" w:hAnsi="Times New Roman" w:cs="Times New Roman"/>
          <w:sz w:val="24"/>
          <w:szCs w:val="24"/>
        </w:rPr>
        <w:t>6</w:t>
      </w:r>
      <w:r w:rsidR="003B1160" w:rsidRPr="00617DF3">
        <w:rPr>
          <w:rFonts w:ascii="Times New Roman" w:hAnsi="Times New Roman" w:cs="Times New Roman"/>
          <w:sz w:val="24"/>
          <w:szCs w:val="24"/>
        </w:rPr>
        <w:t>)</w:t>
      </w:r>
      <w:r w:rsidR="00993BF6" w:rsidRPr="00617DF3">
        <w:rPr>
          <w:rFonts w:ascii="Times New Roman" w:hAnsi="Times New Roman" w:cs="Times New Roman"/>
          <w:sz w:val="24"/>
          <w:szCs w:val="24"/>
        </w:rPr>
        <w:t xml:space="preserve"> y menos intensas en tareas inferiores</w:t>
      </w:r>
      <w:r w:rsidR="00D424ED" w:rsidRPr="00617DF3">
        <w:rPr>
          <w:rFonts w:ascii="Times New Roman" w:hAnsi="Times New Roman" w:cs="Times New Roman"/>
          <w:sz w:val="24"/>
          <w:szCs w:val="24"/>
        </w:rPr>
        <w:t xml:space="preserve"> de </w:t>
      </w:r>
      <w:r w:rsidR="00AE62AD" w:rsidRPr="00617DF3">
        <w:rPr>
          <w:rFonts w:ascii="Times New Roman" w:hAnsi="Times New Roman" w:cs="Times New Roman"/>
          <w:sz w:val="24"/>
          <w:szCs w:val="24"/>
        </w:rPr>
        <w:t>R</w:t>
      </w:r>
      <w:r w:rsidR="00D424ED" w:rsidRPr="00617DF3">
        <w:rPr>
          <w:rFonts w:ascii="Times New Roman" w:hAnsi="Times New Roman" w:cs="Times New Roman"/>
          <w:sz w:val="24"/>
          <w:szCs w:val="24"/>
        </w:rPr>
        <w:t xml:space="preserve">ecordación y </w:t>
      </w:r>
      <w:r w:rsidR="00AE62AD" w:rsidRPr="00617DF3">
        <w:rPr>
          <w:rFonts w:ascii="Times New Roman" w:hAnsi="Times New Roman" w:cs="Times New Roman"/>
          <w:sz w:val="24"/>
          <w:szCs w:val="24"/>
        </w:rPr>
        <w:t>C</w:t>
      </w:r>
      <w:r w:rsidR="00D424ED" w:rsidRPr="00617DF3">
        <w:rPr>
          <w:rFonts w:ascii="Times New Roman" w:hAnsi="Times New Roman" w:cs="Times New Roman"/>
          <w:sz w:val="24"/>
          <w:szCs w:val="24"/>
        </w:rPr>
        <w:t xml:space="preserve">omprensión (medias inferiores a 6). </w:t>
      </w:r>
      <w:r w:rsidRPr="00617DF3">
        <w:rPr>
          <w:rFonts w:ascii="Times New Roman" w:hAnsi="Times New Roman" w:cs="Times New Roman"/>
          <w:sz w:val="24"/>
          <w:szCs w:val="24"/>
        </w:rPr>
        <w:t xml:space="preserve">Los resultados </w:t>
      </w:r>
      <w:r w:rsidR="00AB150B" w:rsidRPr="00617DF3">
        <w:rPr>
          <w:rFonts w:ascii="Times New Roman" w:hAnsi="Times New Roman" w:cs="Times New Roman"/>
          <w:sz w:val="24"/>
          <w:szCs w:val="24"/>
        </w:rPr>
        <w:t xml:space="preserve">del ANOVA </w:t>
      </w:r>
      <w:r w:rsidRPr="00617DF3">
        <w:rPr>
          <w:rFonts w:ascii="Times New Roman" w:hAnsi="Times New Roman" w:cs="Times New Roman"/>
          <w:sz w:val="24"/>
          <w:szCs w:val="24"/>
        </w:rPr>
        <w:t xml:space="preserve">subrayan la distinción entre dominios cognitivos inferiores y superiores. Mientras el recuerdo de conocimientos y la comprensión generaron patrones relativamente estables, las categorías de </w:t>
      </w:r>
      <w:r w:rsidR="00AE62AD" w:rsidRPr="00617DF3">
        <w:rPr>
          <w:rFonts w:ascii="Times New Roman" w:hAnsi="Times New Roman" w:cs="Times New Roman"/>
          <w:sz w:val="24"/>
          <w:szCs w:val="24"/>
        </w:rPr>
        <w:t>A</w:t>
      </w:r>
      <w:r w:rsidRPr="00617DF3">
        <w:rPr>
          <w:rFonts w:ascii="Times New Roman" w:hAnsi="Times New Roman" w:cs="Times New Roman"/>
          <w:sz w:val="24"/>
          <w:szCs w:val="24"/>
        </w:rPr>
        <w:t xml:space="preserve">nálisis, </w:t>
      </w:r>
      <w:r w:rsidR="00AE62AD" w:rsidRPr="00617DF3">
        <w:rPr>
          <w:rFonts w:ascii="Times New Roman" w:hAnsi="Times New Roman" w:cs="Times New Roman"/>
          <w:sz w:val="24"/>
          <w:szCs w:val="24"/>
        </w:rPr>
        <w:t>E</w:t>
      </w:r>
      <w:r w:rsidRPr="00617DF3">
        <w:rPr>
          <w:rFonts w:ascii="Times New Roman" w:hAnsi="Times New Roman" w:cs="Times New Roman"/>
          <w:sz w:val="24"/>
          <w:szCs w:val="24"/>
        </w:rPr>
        <w:t xml:space="preserve">valuación y </w:t>
      </w:r>
      <w:r w:rsidR="00AE62AD" w:rsidRPr="00617DF3">
        <w:rPr>
          <w:rFonts w:ascii="Times New Roman" w:hAnsi="Times New Roman" w:cs="Times New Roman"/>
          <w:sz w:val="24"/>
          <w:szCs w:val="24"/>
        </w:rPr>
        <w:t>C</w:t>
      </w:r>
      <w:r w:rsidRPr="00617DF3">
        <w:rPr>
          <w:rFonts w:ascii="Times New Roman" w:hAnsi="Times New Roman" w:cs="Times New Roman"/>
          <w:sz w:val="24"/>
          <w:szCs w:val="24"/>
        </w:rPr>
        <w:t>reación produjeron valoraciones significativamente más altas, lo que sugiere una integración de información más compleja, juicio reflexivo e innovación</w:t>
      </w:r>
      <w:r w:rsidR="00037EBD" w:rsidRPr="00617DF3">
        <w:rPr>
          <w:rFonts w:ascii="Times New Roman" w:hAnsi="Times New Roman" w:cs="Times New Roman"/>
          <w:sz w:val="24"/>
          <w:szCs w:val="24"/>
        </w:rPr>
        <w:t xml:space="preserve"> (</w:t>
      </w:r>
      <w:proofErr w:type="spellStart"/>
      <w:r w:rsidR="00F9585F" w:rsidRPr="00617DF3">
        <w:rPr>
          <w:rFonts w:ascii="Times New Roman" w:hAnsi="Times New Roman" w:cs="Times New Roman"/>
          <w:sz w:val="24"/>
          <w:szCs w:val="24"/>
        </w:rPr>
        <w:t>Bazzani</w:t>
      </w:r>
      <w:proofErr w:type="spellEnd"/>
      <w:r w:rsidR="00F9585F" w:rsidRPr="00617DF3">
        <w:rPr>
          <w:rFonts w:ascii="Times New Roman" w:hAnsi="Times New Roman" w:cs="Times New Roman"/>
          <w:sz w:val="24"/>
          <w:szCs w:val="24"/>
        </w:rPr>
        <w:t xml:space="preserve"> et al., 2020;</w:t>
      </w:r>
      <w:r w:rsidR="00252BAB" w:rsidRPr="00617DF3">
        <w:rPr>
          <w:rFonts w:ascii="Times New Roman" w:hAnsi="Times New Roman" w:cs="Times New Roman"/>
          <w:sz w:val="24"/>
          <w:szCs w:val="24"/>
        </w:rPr>
        <w:t xml:space="preserve"> </w:t>
      </w:r>
      <w:proofErr w:type="spellStart"/>
      <w:r w:rsidR="00037EBD" w:rsidRPr="00617DF3">
        <w:rPr>
          <w:rFonts w:ascii="Times New Roman" w:hAnsi="Times New Roman" w:cs="Times New Roman"/>
          <w:sz w:val="24"/>
          <w:szCs w:val="24"/>
        </w:rPr>
        <w:t>Ramachandra</w:t>
      </w:r>
      <w:proofErr w:type="spellEnd"/>
      <w:r w:rsidR="00037EBD" w:rsidRPr="00617DF3">
        <w:rPr>
          <w:rFonts w:ascii="Times New Roman" w:hAnsi="Times New Roman" w:cs="Times New Roman"/>
          <w:sz w:val="24"/>
          <w:szCs w:val="24"/>
        </w:rPr>
        <w:t xml:space="preserve"> et al., 2021; Deng y Gao, 2022)</w:t>
      </w:r>
      <w:r w:rsidRPr="00617DF3">
        <w:rPr>
          <w:rFonts w:ascii="Times New Roman" w:hAnsi="Times New Roman" w:cs="Times New Roman"/>
          <w:sz w:val="24"/>
          <w:szCs w:val="24"/>
        </w:rPr>
        <w:t>.</w:t>
      </w:r>
      <w:r w:rsidR="001F125D" w:rsidRPr="00617DF3">
        <w:rPr>
          <w:rFonts w:ascii="Times New Roman" w:hAnsi="Times New Roman" w:cs="Times New Roman"/>
          <w:sz w:val="24"/>
          <w:szCs w:val="24"/>
        </w:rPr>
        <w:t xml:space="preserve"> </w:t>
      </w:r>
      <w:r w:rsidR="006B1BDD" w:rsidRPr="00617DF3">
        <w:rPr>
          <w:rFonts w:ascii="Times New Roman" w:hAnsi="Times New Roman" w:cs="Times New Roman"/>
          <w:sz w:val="24"/>
          <w:szCs w:val="24"/>
        </w:rPr>
        <w:t xml:space="preserve">Así mismo, </w:t>
      </w:r>
      <w:r w:rsidR="0004043C" w:rsidRPr="00617DF3">
        <w:rPr>
          <w:rFonts w:ascii="Times New Roman" w:hAnsi="Times New Roman" w:cs="Times New Roman"/>
          <w:sz w:val="24"/>
          <w:szCs w:val="24"/>
        </w:rPr>
        <w:t xml:space="preserve">se obtienen resultados positivos </w:t>
      </w:r>
      <w:r w:rsidR="00AB150B" w:rsidRPr="00617DF3">
        <w:rPr>
          <w:rFonts w:ascii="Times New Roman" w:hAnsi="Times New Roman" w:cs="Times New Roman"/>
          <w:sz w:val="24"/>
          <w:szCs w:val="24"/>
        </w:rPr>
        <w:t xml:space="preserve">(medias superiores a </w:t>
      </w:r>
      <w:r w:rsidR="006B5908" w:rsidRPr="00617DF3">
        <w:rPr>
          <w:rFonts w:ascii="Times New Roman" w:hAnsi="Times New Roman" w:cs="Times New Roman"/>
          <w:sz w:val="24"/>
          <w:szCs w:val="24"/>
        </w:rPr>
        <w:t>6</w:t>
      </w:r>
      <w:r w:rsidR="00AB150B" w:rsidRPr="00617DF3">
        <w:rPr>
          <w:rFonts w:ascii="Times New Roman" w:hAnsi="Times New Roman" w:cs="Times New Roman"/>
          <w:sz w:val="24"/>
          <w:szCs w:val="24"/>
        </w:rPr>
        <w:t xml:space="preserve">) </w:t>
      </w:r>
      <w:r w:rsidR="0004043C" w:rsidRPr="00617DF3">
        <w:rPr>
          <w:rFonts w:ascii="Times New Roman" w:hAnsi="Times New Roman" w:cs="Times New Roman"/>
          <w:sz w:val="24"/>
          <w:szCs w:val="24"/>
        </w:rPr>
        <w:t>en cuanto al incremento en el valor y la experiencia del aprendizaje en términos de la opinión de los estudia</w:t>
      </w:r>
      <w:r w:rsidR="007B71F8" w:rsidRPr="00617DF3">
        <w:rPr>
          <w:rFonts w:ascii="Times New Roman" w:hAnsi="Times New Roman" w:cs="Times New Roman"/>
          <w:sz w:val="24"/>
          <w:szCs w:val="24"/>
        </w:rPr>
        <w:t>ntes, contribuyendo de esta manera a los resultados del</w:t>
      </w:r>
      <w:r w:rsidR="00367A5F" w:rsidRPr="00617DF3">
        <w:rPr>
          <w:rFonts w:ascii="Times New Roman" w:hAnsi="Times New Roman" w:cs="Times New Roman"/>
          <w:sz w:val="24"/>
          <w:szCs w:val="24"/>
        </w:rPr>
        <w:t xml:space="preserve"> trabajo como el de Lee (2021).</w:t>
      </w:r>
    </w:p>
    <w:p w14:paraId="06936386" w14:textId="77777777" w:rsidR="001F125D" w:rsidRPr="00617DF3" w:rsidRDefault="001F125D" w:rsidP="003C6959">
      <w:pPr>
        <w:spacing w:after="0" w:line="240" w:lineRule="auto"/>
        <w:jc w:val="both"/>
        <w:rPr>
          <w:rFonts w:ascii="Times New Roman" w:hAnsi="Times New Roman" w:cs="Times New Roman"/>
          <w:sz w:val="24"/>
          <w:szCs w:val="24"/>
        </w:rPr>
      </w:pPr>
    </w:p>
    <w:p w14:paraId="75315DD2" w14:textId="49685423" w:rsidR="00462265" w:rsidRPr="00617DF3" w:rsidRDefault="006B5908" w:rsidP="003C6959">
      <w:pPr>
        <w:spacing w:after="0" w:line="240" w:lineRule="auto"/>
        <w:jc w:val="both"/>
        <w:rPr>
          <w:rFonts w:ascii="Times New Roman" w:hAnsi="Times New Roman" w:cs="Times New Roman"/>
          <w:sz w:val="24"/>
          <w:szCs w:val="24"/>
        </w:rPr>
      </w:pPr>
      <w:r w:rsidRPr="00617DF3">
        <w:rPr>
          <w:rFonts w:ascii="Times New Roman" w:hAnsi="Times New Roman" w:cs="Times New Roman"/>
          <w:sz w:val="24"/>
          <w:szCs w:val="24"/>
        </w:rPr>
        <w:t>En consecuencia, e</w:t>
      </w:r>
      <w:r w:rsidR="001F125D" w:rsidRPr="00617DF3">
        <w:rPr>
          <w:rFonts w:ascii="Times New Roman" w:hAnsi="Times New Roman" w:cs="Times New Roman"/>
          <w:sz w:val="24"/>
          <w:szCs w:val="24"/>
        </w:rPr>
        <w:t>ste estudio añade: (i) un mapeo expl</w:t>
      </w:r>
      <w:r w:rsidR="00AE62AD" w:rsidRPr="00617DF3">
        <w:rPr>
          <w:rFonts w:ascii="Times New Roman" w:hAnsi="Times New Roman" w:cs="Times New Roman"/>
          <w:sz w:val="24"/>
          <w:szCs w:val="24"/>
        </w:rPr>
        <w:t>í</w:t>
      </w:r>
      <w:r w:rsidR="001F125D" w:rsidRPr="00617DF3">
        <w:rPr>
          <w:rFonts w:ascii="Times New Roman" w:hAnsi="Times New Roman" w:cs="Times New Roman"/>
          <w:sz w:val="24"/>
          <w:szCs w:val="24"/>
        </w:rPr>
        <w:t>cito en tareas experienciales del área de negocios, específicamente de la mercadotecnia; (</w:t>
      </w:r>
      <w:proofErr w:type="spellStart"/>
      <w:r w:rsidR="001F125D" w:rsidRPr="00617DF3">
        <w:rPr>
          <w:rFonts w:ascii="Times New Roman" w:hAnsi="Times New Roman" w:cs="Times New Roman"/>
          <w:sz w:val="24"/>
          <w:szCs w:val="24"/>
        </w:rPr>
        <w:t>ii</w:t>
      </w:r>
      <w:proofErr w:type="spellEnd"/>
      <w:r w:rsidR="001F125D" w:rsidRPr="00617DF3">
        <w:rPr>
          <w:rFonts w:ascii="Times New Roman" w:hAnsi="Times New Roman" w:cs="Times New Roman"/>
          <w:sz w:val="24"/>
          <w:szCs w:val="24"/>
        </w:rPr>
        <w:t xml:space="preserve">) triangulación GSR + </w:t>
      </w:r>
      <w:proofErr w:type="spellStart"/>
      <w:r w:rsidR="001F125D" w:rsidRPr="00617DF3">
        <w:rPr>
          <w:rFonts w:ascii="Times New Roman" w:hAnsi="Times New Roman" w:cs="Times New Roman"/>
          <w:sz w:val="24"/>
          <w:szCs w:val="24"/>
        </w:rPr>
        <w:t>eye</w:t>
      </w:r>
      <w:proofErr w:type="spellEnd"/>
      <w:r w:rsidR="001F125D" w:rsidRPr="00617DF3">
        <w:rPr>
          <w:rFonts w:ascii="Times New Roman" w:hAnsi="Times New Roman" w:cs="Times New Roman"/>
          <w:sz w:val="24"/>
          <w:szCs w:val="24"/>
        </w:rPr>
        <w:t>-tracking en actividades predefinidas (exposición, interacción, ejecución); y (</w:t>
      </w:r>
      <w:proofErr w:type="spellStart"/>
      <w:r w:rsidR="001F125D" w:rsidRPr="00617DF3">
        <w:rPr>
          <w:rFonts w:ascii="Times New Roman" w:hAnsi="Times New Roman" w:cs="Times New Roman"/>
          <w:sz w:val="24"/>
          <w:szCs w:val="24"/>
        </w:rPr>
        <w:t>iii</w:t>
      </w:r>
      <w:proofErr w:type="spellEnd"/>
      <w:r w:rsidR="001F125D" w:rsidRPr="00617DF3">
        <w:rPr>
          <w:rFonts w:ascii="Times New Roman" w:hAnsi="Times New Roman" w:cs="Times New Roman"/>
          <w:sz w:val="24"/>
          <w:szCs w:val="24"/>
        </w:rPr>
        <w:t>) una práctica experiencial en un laboratorio de negocios, lo que refuerza la atribución de diferencias a activación (GSR) y atención (</w:t>
      </w:r>
      <w:proofErr w:type="spellStart"/>
      <w:r w:rsidR="001F125D" w:rsidRPr="00617DF3">
        <w:rPr>
          <w:rFonts w:ascii="Times New Roman" w:hAnsi="Times New Roman" w:cs="Times New Roman"/>
          <w:sz w:val="24"/>
          <w:szCs w:val="24"/>
        </w:rPr>
        <w:t>eye</w:t>
      </w:r>
      <w:proofErr w:type="spellEnd"/>
      <w:r w:rsidR="00DF009F" w:rsidRPr="00617DF3">
        <w:rPr>
          <w:rFonts w:ascii="Times New Roman" w:hAnsi="Times New Roman" w:cs="Times New Roman"/>
          <w:sz w:val="24"/>
          <w:szCs w:val="24"/>
        </w:rPr>
        <w:t>-</w:t>
      </w:r>
      <w:r w:rsidR="001F125D" w:rsidRPr="00617DF3">
        <w:rPr>
          <w:rFonts w:ascii="Times New Roman" w:hAnsi="Times New Roman" w:cs="Times New Roman"/>
          <w:sz w:val="24"/>
          <w:szCs w:val="24"/>
        </w:rPr>
        <w:t>tracking).</w:t>
      </w:r>
    </w:p>
    <w:p w14:paraId="63EA0085" w14:textId="77777777" w:rsidR="00A8237F" w:rsidRPr="00617DF3" w:rsidRDefault="00A8237F" w:rsidP="003C6959">
      <w:pPr>
        <w:spacing w:after="0" w:line="240" w:lineRule="auto"/>
        <w:jc w:val="both"/>
        <w:rPr>
          <w:rFonts w:ascii="Times New Roman" w:hAnsi="Times New Roman" w:cs="Times New Roman"/>
          <w:sz w:val="24"/>
          <w:szCs w:val="24"/>
        </w:rPr>
      </w:pPr>
    </w:p>
    <w:p w14:paraId="60BFA231" w14:textId="3F5ADE09" w:rsidR="000531FD" w:rsidRPr="00617DF3" w:rsidRDefault="000531FD" w:rsidP="003C6959">
      <w:pPr>
        <w:spacing w:after="0" w:line="240" w:lineRule="auto"/>
        <w:jc w:val="center"/>
        <w:rPr>
          <w:rFonts w:ascii="Times New Roman" w:hAnsi="Times New Roman" w:cs="Times New Roman"/>
          <w:b/>
          <w:bCs/>
          <w:sz w:val="24"/>
          <w:szCs w:val="24"/>
        </w:rPr>
      </w:pPr>
      <w:r w:rsidRPr="00617DF3">
        <w:rPr>
          <w:rFonts w:ascii="Times New Roman" w:hAnsi="Times New Roman" w:cs="Times New Roman"/>
          <w:b/>
          <w:bCs/>
          <w:sz w:val="24"/>
          <w:szCs w:val="24"/>
        </w:rPr>
        <w:lastRenderedPageBreak/>
        <w:t>Conclusiones</w:t>
      </w:r>
    </w:p>
    <w:p w14:paraId="1649D9B4" w14:textId="77777777" w:rsidR="00D00CB2" w:rsidRPr="00617DF3" w:rsidRDefault="00D00CB2" w:rsidP="003C6959">
      <w:pPr>
        <w:spacing w:after="0" w:line="240" w:lineRule="auto"/>
        <w:jc w:val="both"/>
        <w:rPr>
          <w:rFonts w:ascii="Times New Roman" w:hAnsi="Times New Roman" w:cs="Times New Roman"/>
          <w:sz w:val="24"/>
          <w:szCs w:val="24"/>
        </w:rPr>
      </w:pPr>
    </w:p>
    <w:p w14:paraId="61942832" w14:textId="20134317" w:rsidR="00FF484D" w:rsidRPr="00617DF3" w:rsidRDefault="008A5E49" w:rsidP="0061135D">
      <w:pPr>
        <w:spacing w:after="0" w:line="240" w:lineRule="auto"/>
        <w:ind w:firstLine="708"/>
        <w:jc w:val="both"/>
        <w:rPr>
          <w:rFonts w:ascii="Times New Roman" w:hAnsi="Times New Roman" w:cs="Times New Roman"/>
          <w:sz w:val="24"/>
          <w:szCs w:val="24"/>
        </w:rPr>
      </w:pPr>
      <w:r w:rsidRPr="00617DF3">
        <w:rPr>
          <w:rFonts w:ascii="Times New Roman" w:hAnsi="Times New Roman" w:cs="Times New Roman"/>
          <w:sz w:val="24"/>
          <w:szCs w:val="24"/>
        </w:rPr>
        <w:t>Dado el mayor desempeño en niveles superiores</w:t>
      </w:r>
      <w:r w:rsidR="00C74C5F" w:rsidRPr="00617DF3">
        <w:rPr>
          <w:rFonts w:ascii="Times New Roman" w:hAnsi="Times New Roman" w:cs="Times New Roman"/>
          <w:sz w:val="24"/>
          <w:szCs w:val="24"/>
        </w:rPr>
        <w:t xml:space="preserve"> obtenidos a través de p</w:t>
      </w:r>
      <w:r w:rsidR="00080CB1" w:rsidRPr="00617DF3">
        <w:rPr>
          <w:rFonts w:ascii="Times New Roman" w:hAnsi="Times New Roman" w:cs="Times New Roman"/>
          <w:sz w:val="24"/>
          <w:szCs w:val="24"/>
        </w:rPr>
        <w:t>rácticas experienciales de neurom</w:t>
      </w:r>
      <w:r w:rsidR="0023382F" w:rsidRPr="00617DF3">
        <w:rPr>
          <w:rFonts w:ascii="Times New Roman" w:hAnsi="Times New Roman" w:cs="Times New Roman"/>
          <w:sz w:val="24"/>
          <w:szCs w:val="24"/>
        </w:rPr>
        <w:t>arketing</w:t>
      </w:r>
      <w:r w:rsidRPr="00617DF3">
        <w:rPr>
          <w:rFonts w:ascii="Times New Roman" w:hAnsi="Times New Roman" w:cs="Times New Roman"/>
          <w:sz w:val="24"/>
          <w:szCs w:val="24"/>
        </w:rPr>
        <w:t xml:space="preserve">, sugerimos, desde una perspectiva pedagógica, </w:t>
      </w:r>
      <w:r w:rsidR="00D00CB2" w:rsidRPr="00617DF3">
        <w:rPr>
          <w:rFonts w:ascii="Times New Roman" w:hAnsi="Times New Roman" w:cs="Times New Roman"/>
          <w:sz w:val="24"/>
          <w:szCs w:val="24"/>
        </w:rPr>
        <w:t xml:space="preserve">que los planes de estudio en negocios deberían priorizar el diseño de experiencias que desafíen </w:t>
      </w:r>
      <w:r w:rsidR="004D16C2" w:rsidRPr="00617DF3">
        <w:rPr>
          <w:rFonts w:ascii="Times New Roman" w:hAnsi="Times New Roman" w:cs="Times New Roman"/>
          <w:sz w:val="24"/>
          <w:szCs w:val="24"/>
        </w:rPr>
        <w:t>a los alumnos</w:t>
      </w:r>
      <w:r w:rsidR="00D00CB2" w:rsidRPr="00617DF3">
        <w:rPr>
          <w:rFonts w:ascii="Times New Roman" w:hAnsi="Times New Roman" w:cs="Times New Roman"/>
          <w:sz w:val="24"/>
          <w:szCs w:val="24"/>
        </w:rPr>
        <w:t xml:space="preserve"> en los niveles de </w:t>
      </w:r>
      <w:r w:rsidR="007F4458" w:rsidRPr="00617DF3">
        <w:rPr>
          <w:rFonts w:ascii="Times New Roman" w:hAnsi="Times New Roman" w:cs="Times New Roman"/>
          <w:sz w:val="24"/>
          <w:szCs w:val="24"/>
        </w:rPr>
        <w:t>E</w:t>
      </w:r>
      <w:r w:rsidR="00D00CB2" w:rsidRPr="00617DF3">
        <w:rPr>
          <w:rFonts w:ascii="Times New Roman" w:hAnsi="Times New Roman" w:cs="Times New Roman"/>
          <w:sz w:val="24"/>
          <w:szCs w:val="24"/>
        </w:rPr>
        <w:t xml:space="preserve">valuación y </w:t>
      </w:r>
      <w:r w:rsidR="007F4458" w:rsidRPr="00617DF3">
        <w:rPr>
          <w:rFonts w:ascii="Times New Roman" w:hAnsi="Times New Roman" w:cs="Times New Roman"/>
          <w:sz w:val="24"/>
          <w:szCs w:val="24"/>
        </w:rPr>
        <w:t>C</w:t>
      </w:r>
      <w:r w:rsidR="00D00CB2" w:rsidRPr="00617DF3">
        <w:rPr>
          <w:rFonts w:ascii="Times New Roman" w:hAnsi="Times New Roman" w:cs="Times New Roman"/>
          <w:sz w:val="24"/>
          <w:szCs w:val="24"/>
        </w:rPr>
        <w:t>reación. Al incorporar sistemáticamente estas tareas, el profesorado puede preparar mejor a los estudiantes para transferir conocimiento entre contextos y aplicar marcos teóricos a problemas complejos.</w:t>
      </w:r>
    </w:p>
    <w:p w14:paraId="50A3B245" w14:textId="77777777" w:rsidR="00FF484D" w:rsidRPr="00617DF3" w:rsidRDefault="00FF484D" w:rsidP="003C6959">
      <w:pPr>
        <w:spacing w:after="0" w:line="240" w:lineRule="auto"/>
        <w:jc w:val="both"/>
        <w:rPr>
          <w:rFonts w:ascii="Times New Roman" w:hAnsi="Times New Roman" w:cs="Times New Roman"/>
          <w:sz w:val="24"/>
          <w:szCs w:val="24"/>
        </w:rPr>
      </w:pPr>
    </w:p>
    <w:p w14:paraId="2EB02239" w14:textId="6DF9152E" w:rsidR="0066556F" w:rsidRPr="00617DF3" w:rsidRDefault="0066556F" w:rsidP="003C6959">
      <w:pPr>
        <w:spacing w:after="0" w:line="240" w:lineRule="auto"/>
        <w:jc w:val="both"/>
        <w:rPr>
          <w:rFonts w:ascii="Times New Roman" w:hAnsi="Times New Roman" w:cs="Times New Roman"/>
          <w:sz w:val="24"/>
          <w:szCs w:val="24"/>
        </w:rPr>
      </w:pPr>
      <w:r w:rsidRPr="00617DF3">
        <w:rPr>
          <w:rFonts w:ascii="Times New Roman" w:hAnsi="Times New Roman" w:cs="Times New Roman"/>
          <w:sz w:val="24"/>
          <w:szCs w:val="24"/>
        </w:rPr>
        <w:t xml:space="preserve">Para el profesorado, se recomienda diseñar actividades experienciales muy bien estructuradas para controlar cada actividad permitiendo poder avanzar escalonadamente </w:t>
      </w:r>
      <w:r w:rsidR="005F6573" w:rsidRPr="00617DF3">
        <w:rPr>
          <w:rFonts w:ascii="Times New Roman" w:hAnsi="Times New Roman" w:cs="Times New Roman"/>
          <w:sz w:val="24"/>
          <w:szCs w:val="24"/>
        </w:rPr>
        <w:t>a niveles superiores de cognición</w:t>
      </w:r>
      <w:r w:rsidRPr="00617DF3">
        <w:rPr>
          <w:rFonts w:ascii="Times New Roman" w:hAnsi="Times New Roman" w:cs="Times New Roman"/>
          <w:sz w:val="24"/>
          <w:szCs w:val="24"/>
        </w:rPr>
        <w:t>. Además, es importante incluir momentos de reflexión sobre la importancia de utilizar estas herramientas de neurociencia en los negocios para que el alumno entienda el valor y la experiencia del aprendizaje ganado. Por último, es indispensable observar salvaguardas éticas como el consentimiento informado y el aviso de privaci</w:t>
      </w:r>
      <w:r w:rsidR="00A941F6" w:rsidRPr="00617DF3">
        <w:rPr>
          <w:rFonts w:ascii="Times New Roman" w:hAnsi="Times New Roman" w:cs="Times New Roman"/>
          <w:sz w:val="24"/>
          <w:szCs w:val="24"/>
        </w:rPr>
        <w:t>dad</w:t>
      </w:r>
      <w:r w:rsidRPr="00617DF3">
        <w:rPr>
          <w:rFonts w:ascii="Times New Roman" w:hAnsi="Times New Roman" w:cs="Times New Roman"/>
          <w:sz w:val="24"/>
          <w:szCs w:val="24"/>
        </w:rPr>
        <w:t xml:space="preserve"> de datos.</w:t>
      </w:r>
    </w:p>
    <w:p w14:paraId="14226C2C" w14:textId="77777777" w:rsidR="0066556F" w:rsidRPr="00617DF3" w:rsidRDefault="0066556F" w:rsidP="003C6959">
      <w:pPr>
        <w:spacing w:after="0" w:line="240" w:lineRule="auto"/>
        <w:jc w:val="both"/>
        <w:rPr>
          <w:rFonts w:ascii="Times New Roman" w:hAnsi="Times New Roman" w:cs="Times New Roman"/>
          <w:sz w:val="24"/>
          <w:szCs w:val="24"/>
        </w:rPr>
      </w:pPr>
    </w:p>
    <w:p w14:paraId="3B6618A9" w14:textId="5C0ABF38" w:rsidR="0066556F" w:rsidRPr="00617DF3" w:rsidRDefault="0066556F" w:rsidP="003C6959">
      <w:pPr>
        <w:spacing w:after="0" w:line="240" w:lineRule="auto"/>
        <w:jc w:val="both"/>
        <w:rPr>
          <w:rFonts w:ascii="Times New Roman" w:hAnsi="Times New Roman" w:cs="Times New Roman"/>
          <w:sz w:val="24"/>
          <w:szCs w:val="24"/>
        </w:rPr>
      </w:pPr>
      <w:r w:rsidRPr="00617DF3">
        <w:rPr>
          <w:rFonts w:ascii="Times New Roman" w:hAnsi="Times New Roman" w:cs="Times New Roman"/>
          <w:sz w:val="24"/>
          <w:szCs w:val="24"/>
        </w:rPr>
        <w:t xml:space="preserve">Para el plan de estudios, se sugiere alinear asignaturas y rúbricas incluyendo este tipo de actividades experienciales utilizando </w:t>
      </w:r>
      <w:r w:rsidR="00777BB4" w:rsidRPr="00617DF3">
        <w:rPr>
          <w:rFonts w:ascii="Times New Roman" w:hAnsi="Times New Roman" w:cs="Times New Roman"/>
          <w:sz w:val="24"/>
          <w:szCs w:val="24"/>
        </w:rPr>
        <w:t>el</w:t>
      </w:r>
      <w:r w:rsidRPr="00617DF3">
        <w:rPr>
          <w:rFonts w:ascii="Times New Roman" w:hAnsi="Times New Roman" w:cs="Times New Roman"/>
          <w:sz w:val="24"/>
          <w:szCs w:val="24"/>
        </w:rPr>
        <w:t xml:space="preserve"> neur</w:t>
      </w:r>
      <w:r w:rsidR="00777BB4" w:rsidRPr="00617DF3">
        <w:rPr>
          <w:rFonts w:ascii="Times New Roman" w:hAnsi="Times New Roman" w:cs="Times New Roman"/>
          <w:sz w:val="24"/>
          <w:szCs w:val="24"/>
        </w:rPr>
        <w:t>omarketing</w:t>
      </w:r>
      <w:r w:rsidRPr="00617DF3">
        <w:rPr>
          <w:rFonts w:ascii="Times New Roman" w:hAnsi="Times New Roman" w:cs="Times New Roman"/>
          <w:sz w:val="24"/>
          <w:szCs w:val="24"/>
        </w:rPr>
        <w:t>. Así como institucionalizar módulos de aprendizaje experiencial con proyectos en laboratorios o proyectos reales. Para lograr su correcta aplicación resulta imprescindible desarrollar capacidades y recursos como capacitación docente</w:t>
      </w:r>
      <w:r w:rsidR="0023382F" w:rsidRPr="00617DF3">
        <w:rPr>
          <w:rFonts w:ascii="Times New Roman" w:hAnsi="Times New Roman" w:cs="Times New Roman"/>
          <w:sz w:val="24"/>
          <w:szCs w:val="24"/>
        </w:rPr>
        <w:t xml:space="preserve"> y </w:t>
      </w:r>
      <w:r w:rsidRPr="00617DF3">
        <w:rPr>
          <w:rFonts w:ascii="Times New Roman" w:hAnsi="Times New Roman" w:cs="Times New Roman"/>
          <w:sz w:val="24"/>
          <w:szCs w:val="24"/>
        </w:rPr>
        <w:t>protocolos de uso de biosensores. Por último, es recomendable establecer gobernanza de datos biométricos</w:t>
      </w:r>
      <w:r w:rsidR="006B1850" w:rsidRPr="00617DF3">
        <w:rPr>
          <w:rFonts w:ascii="Times New Roman" w:hAnsi="Times New Roman" w:cs="Times New Roman"/>
          <w:sz w:val="24"/>
          <w:szCs w:val="24"/>
        </w:rPr>
        <w:t xml:space="preserve"> referentes a privacidad, uso educativo, resguardo, entre otros</w:t>
      </w:r>
      <w:r w:rsidRPr="00617DF3">
        <w:rPr>
          <w:rFonts w:ascii="Times New Roman" w:hAnsi="Times New Roman" w:cs="Times New Roman"/>
          <w:sz w:val="24"/>
          <w:szCs w:val="24"/>
        </w:rPr>
        <w:t xml:space="preserve"> (</w:t>
      </w:r>
      <w:r w:rsidR="006B1850" w:rsidRPr="00617DF3">
        <w:rPr>
          <w:rFonts w:ascii="Times New Roman" w:hAnsi="Times New Roman" w:cs="Times New Roman"/>
          <w:sz w:val="24"/>
          <w:szCs w:val="24"/>
        </w:rPr>
        <w:t xml:space="preserve">ISO/IEC 24745, 2022). </w:t>
      </w:r>
      <w:r w:rsidRPr="00617DF3">
        <w:rPr>
          <w:rFonts w:ascii="Times New Roman" w:hAnsi="Times New Roman" w:cs="Times New Roman"/>
          <w:sz w:val="24"/>
          <w:szCs w:val="24"/>
        </w:rPr>
        <w:t>Integrar estas directrices permitiría consolidar trayectorias formativas que eleven la complejidad cognitiva y la pertinencia profesional de la enseñanza de mercadotecnia.</w:t>
      </w:r>
    </w:p>
    <w:p w14:paraId="4E8C781B" w14:textId="2356A36F" w:rsidR="000A1187" w:rsidRPr="00617DF3" w:rsidRDefault="000A1187" w:rsidP="003C6959">
      <w:pPr>
        <w:spacing w:after="0" w:line="240" w:lineRule="auto"/>
        <w:jc w:val="both"/>
        <w:rPr>
          <w:rFonts w:ascii="Times New Roman" w:hAnsi="Times New Roman" w:cs="Times New Roman"/>
          <w:sz w:val="24"/>
          <w:szCs w:val="24"/>
        </w:rPr>
      </w:pPr>
    </w:p>
    <w:p w14:paraId="5E87742D" w14:textId="54BFB8EB" w:rsidR="000A1187" w:rsidRPr="00617DF3" w:rsidRDefault="004F59EA" w:rsidP="003C6959">
      <w:pPr>
        <w:spacing w:after="0" w:line="240" w:lineRule="auto"/>
        <w:jc w:val="center"/>
        <w:rPr>
          <w:rFonts w:ascii="Times New Roman" w:hAnsi="Times New Roman" w:cs="Times New Roman"/>
          <w:b/>
          <w:bCs/>
          <w:sz w:val="24"/>
          <w:szCs w:val="24"/>
        </w:rPr>
      </w:pPr>
      <w:r w:rsidRPr="00617DF3">
        <w:rPr>
          <w:rFonts w:ascii="Times New Roman" w:hAnsi="Times New Roman" w:cs="Times New Roman"/>
          <w:b/>
          <w:bCs/>
          <w:sz w:val="24"/>
          <w:szCs w:val="24"/>
        </w:rPr>
        <w:t xml:space="preserve">Limitaciones y </w:t>
      </w:r>
      <w:r w:rsidR="00B90857" w:rsidRPr="00617DF3">
        <w:rPr>
          <w:rFonts w:ascii="Times New Roman" w:hAnsi="Times New Roman" w:cs="Times New Roman"/>
          <w:b/>
          <w:bCs/>
          <w:sz w:val="24"/>
          <w:szCs w:val="24"/>
        </w:rPr>
        <w:t>Futuras líneas de investigación</w:t>
      </w:r>
    </w:p>
    <w:p w14:paraId="0E1F6511" w14:textId="77777777" w:rsidR="00B90857" w:rsidRPr="00617DF3" w:rsidRDefault="00B90857" w:rsidP="003C6959">
      <w:pPr>
        <w:spacing w:after="0" w:line="240" w:lineRule="auto"/>
        <w:jc w:val="both"/>
        <w:rPr>
          <w:rFonts w:ascii="Times New Roman" w:hAnsi="Times New Roman" w:cs="Times New Roman"/>
          <w:sz w:val="24"/>
          <w:szCs w:val="24"/>
        </w:rPr>
      </w:pPr>
    </w:p>
    <w:p w14:paraId="79017F98" w14:textId="10614386" w:rsidR="00BE2ED4" w:rsidRPr="00617DF3" w:rsidRDefault="00D00CB2" w:rsidP="003C6959">
      <w:pPr>
        <w:spacing w:after="0" w:line="240" w:lineRule="auto"/>
        <w:ind w:firstLine="708"/>
        <w:jc w:val="both"/>
        <w:rPr>
          <w:rFonts w:ascii="Times New Roman" w:hAnsi="Times New Roman" w:cs="Times New Roman"/>
          <w:sz w:val="24"/>
          <w:szCs w:val="24"/>
        </w:rPr>
      </w:pPr>
      <w:r w:rsidRPr="00617DF3">
        <w:rPr>
          <w:rFonts w:ascii="Times New Roman" w:hAnsi="Times New Roman" w:cs="Times New Roman"/>
          <w:sz w:val="24"/>
          <w:szCs w:val="24"/>
        </w:rPr>
        <w:t>Futuras investigaciones deberían ampliar este enfoque</w:t>
      </w:r>
      <w:r w:rsidR="00293082" w:rsidRPr="00617DF3">
        <w:rPr>
          <w:rFonts w:ascii="Times New Roman" w:hAnsi="Times New Roman" w:cs="Times New Roman"/>
          <w:sz w:val="24"/>
          <w:szCs w:val="24"/>
        </w:rPr>
        <w:t xml:space="preserve">. En primer lugar, se recomienda replicar y extender el protocolo en contextos </w:t>
      </w:r>
      <w:r w:rsidR="00547608" w:rsidRPr="00617DF3">
        <w:rPr>
          <w:rFonts w:ascii="Times New Roman" w:hAnsi="Times New Roman" w:cs="Times New Roman"/>
          <w:sz w:val="24"/>
          <w:szCs w:val="24"/>
        </w:rPr>
        <w:t xml:space="preserve">con empresas reales </w:t>
      </w:r>
      <w:r w:rsidR="0041338A" w:rsidRPr="00617DF3">
        <w:rPr>
          <w:rFonts w:ascii="Times New Roman" w:hAnsi="Times New Roman" w:cs="Times New Roman"/>
          <w:sz w:val="24"/>
          <w:szCs w:val="24"/>
        </w:rPr>
        <w:t>enriqueciendo de esta manera los resultados</w:t>
      </w:r>
      <w:r w:rsidR="00371193" w:rsidRPr="00617DF3">
        <w:rPr>
          <w:rFonts w:ascii="Times New Roman" w:hAnsi="Times New Roman" w:cs="Times New Roman"/>
          <w:sz w:val="24"/>
          <w:szCs w:val="24"/>
        </w:rPr>
        <w:t xml:space="preserve"> y contrarrestando </w:t>
      </w:r>
      <w:r w:rsidR="008402D9" w:rsidRPr="00617DF3">
        <w:rPr>
          <w:rFonts w:ascii="Times New Roman" w:hAnsi="Times New Roman" w:cs="Times New Roman"/>
          <w:sz w:val="24"/>
          <w:szCs w:val="24"/>
        </w:rPr>
        <w:t>la limitación de validez externa</w:t>
      </w:r>
      <w:r w:rsidR="00371193" w:rsidRPr="00617DF3">
        <w:rPr>
          <w:rFonts w:ascii="Times New Roman" w:hAnsi="Times New Roman" w:cs="Times New Roman"/>
          <w:sz w:val="24"/>
          <w:szCs w:val="24"/>
        </w:rPr>
        <w:t xml:space="preserve"> de</w:t>
      </w:r>
      <w:r w:rsidR="007275E1" w:rsidRPr="00617DF3">
        <w:rPr>
          <w:rFonts w:ascii="Times New Roman" w:hAnsi="Times New Roman" w:cs="Times New Roman"/>
          <w:sz w:val="24"/>
          <w:szCs w:val="24"/>
        </w:rPr>
        <w:t>l</w:t>
      </w:r>
      <w:r w:rsidR="00371193" w:rsidRPr="00617DF3">
        <w:rPr>
          <w:rFonts w:ascii="Times New Roman" w:hAnsi="Times New Roman" w:cs="Times New Roman"/>
          <w:sz w:val="24"/>
          <w:szCs w:val="24"/>
        </w:rPr>
        <w:t xml:space="preserve"> estudio con respecto al uso de laboratorios</w:t>
      </w:r>
      <w:r w:rsidR="0041338A" w:rsidRPr="00617DF3">
        <w:rPr>
          <w:rFonts w:ascii="Times New Roman" w:hAnsi="Times New Roman" w:cs="Times New Roman"/>
          <w:sz w:val="24"/>
          <w:szCs w:val="24"/>
        </w:rPr>
        <w:t xml:space="preserve">. </w:t>
      </w:r>
      <w:r w:rsidR="00FC280F" w:rsidRPr="00617DF3">
        <w:rPr>
          <w:rFonts w:ascii="Times New Roman" w:hAnsi="Times New Roman" w:cs="Times New Roman"/>
          <w:sz w:val="24"/>
          <w:szCs w:val="24"/>
        </w:rPr>
        <w:t xml:space="preserve">Además, </w:t>
      </w:r>
      <w:r w:rsidR="009922D9" w:rsidRPr="00617DF3">
        <w:rPr>
          <w:rFonts w:ascii="Times New Roman" w:hAnsi="Times New Roman" w:cs="Times New Roman"/>
          <w:sz w:val="24"/>
          <w:szCs w:val="24"/>
        </w:rPr>
        <w:t xml:space="preserve">la ausencia de EEG (y de otros índices como </w:t>
      </w:r>
      <w:proofErr w:type="spellStart"/>
      <w:r w:rsidR="009922D9" w:rsidRPr="00617DF3">
        <w:rPr>
          <w:rFonts w:ascii="Times New Roman" w:hAnsi="Times New Roman" w:cs="Times New Roman"/>
          <w:sz w:val="24"/>
          <w:szCs w:val="24"/>
        </w:rPr>
        <w:t>fNIRS</w:t>
      </w:r>
      <w:proofErr w:type="spellEnd"/>
      <w:r w:rsidR="009922D9" w:rsidRPr="00617DF3">
        <w:rPr>
          <w:rFonts w:ascii="Times New Roman" w:hAnsi="Times New Roman" w:cs="Times New Roman"/>
          <w:sz w:val="24"/>
          <w:szCs w:val="24"/>
        </w:rPr>
        <w:t xml:space="preserve">) limita la inferencia sobre procesos neurocognitivos finos, por lo que </w:t>
      </w:r>
      <w:r w:rsidR="00FC280F" w:rsidRPr="00617DF3">
        <w:rPr>
          <w:rFonts w:ascii="Times New Roman" w:hAnsi="Times New Roman" w:cs="Times New Roman"/>
          <w:sz w:val="24"/>
          <w:szCs w:val="24"/>
        </w:rPr>
        <w:t>l</w:t>
      </w:r>
      <w:r w:rsidR="00293082" w:rsidRPr="00617DF3">
        <w:rPr>
          <w:rFonts w:ascii="Times New Roman" w:hAnsi="Times New Roman" w:cs="Times New Roman"/>
          <w:sz w:val="24"/>
          <w:szCs w:val="24"/>
        </w:rPr>
        <w:t xml:space="preserve">a incorporación de </w:t>
      </w:r>
      <w:r w:rsidR="00FC280F" w:rsidRPr="00617DF3">
        <w:rPr>
          <w:rFonts w:ascii="Times New Roman" w:hAnsi="Times New Roman" w:cs="Times New Roman"/>
          <w:sz w:val="24"/>
          <w:szCs w:val="24"/>
        </w:rPr>
        <w:t>otros instrumentos de neuro</w:t>
      </w:r>
      <w:r w:rsidR="00777BB4" w:rsidRPr="00617DF3">
        <w:rPr>
          <w:rFonts w:ascii="Times New Roman" w:hAnsi="Times New Roman" w:cs="Times New Roman"/>
          <w:sz w:val="24"/>
          <w:szCs w:val="24"/>
        </w:rPr>
        <w:t>marketing</w:t>
      </w:r>
      <w:r w:rsidR="00FC280F" w:rsidRPr="00617DF3">
        <w:rPr>
          <w:rFonts w:ascii="Times New Roman" w:hAnsi="Times New Roman" w:cs="Times New Roman"/>
          <w:sz w:val="24"/>
          <w:szCs w:val="24"/>
        </w:rPr>
        <w:t xml:space="preserve"> </w:t>
      </w:r>
      <w:r w:rsidR="00293082" w:rsidRPr="00617DF3">
        <w:rPr>
          <w:rFonts w:ascii="Times New Roman" w:hAnsi="Times New Roman" w:cs="Times New Roman"/>
          <w:sz w:val="24"/>
          <w:szCs w:val="24"/>
        </w:rPr>
        <w:t xml:space="preserve">permitirá </w:t>
      </w:r>
      <w:r w:rsidR="00777BB4" w:rsidRPr="00617DF3">
        <w:rPr>
          <w:rFonts w:ascii="Times New Roman" w:hAnsi="Times New Roman" w:cs="Times New Roman"/>
          <w:sz w:val="24"/>
          <w:szCs w:val="24"/>
        </w:rPr>
        <w:t xml:space="preserve">la </w:t>
      </w:r>
      <w:r w:rsidR="00293082" w:rsidRPr="00617DF3">
        <w:rPr>
          <w:rFonts w:ascii="Times New Roman" w:hAnsi="Times New Roman" w:cs="Times New Roman"/>
          <w:sz w:val="24"/>
          <w:szCs w:val="24"/>
        </w:rPr>
        <w:t xml:space="preserve">triangulación multimodal con GSR y </w:t>
      </w:r>
      <w:proofErr w:type="spellStart"/>
      <w:r w:rsidR="00293082" w:rsidRPr="00617DF3">
        <w:rPr>
          <w:rFonts w:ascii="Times New Roman" w:hAnsi="Times New Roman" w:cs="Times New Roman"/>
          <w:sz w:val="24"/>
          <w:szCs w:val="24"/>
        </w:rPr>
        <w:t>eye</w:t>
      </w:r>
      <w:proofErr w:type="spellEnd"/>
      <w:r w:rsidR="00E507B6" w:rsidRPr="00617DF3">
        <w:rPr>
          <w:rFonts w:ascii="Times New Roman" w:hAnsi="Times New Roman" w:cs="Times New Roman"/>
          <w:sz w:val="24"/>
          <w:szCs w:val="24"/>
        </w:rPr>
        <w:t>-</w:t>
      </w:r>
      <w:r w:rsidR="00293082" w:rsidRPr="00617DF3">
        <w:rPr>
          <w:rFonts w:ascii="Times New Roman" w:hAnsi="Times New Roman" w:cs="Times New Roman"/>
          <w:sz w:val="24"/>
          <w:szCs w:val="24"/>
        </w:rPr>
        <w:t>tracking</w:t>
      </w:r>
      <w:r w:rsidR="00F25D4C" w:rsidRPr="00617DF3">
        <w:rPr>
          <w:rFonts w:ascii="Times New Roman" w:hAnsi="Times New Roman" w:cs="Times New Roman"/>
          <w:sz w:val="24"/>
          <w:szCs w:val="24"/>
        </w:rPr>
        <w:t>.</w:t>
      </w:r>
      <w:r w:rsidR="00B32CA2" w:rsidRPr="00617DF3">
        <w:rPr>
          <w:rFonts w:ascii="Times New Roman" w:hAnsi="Times New Roman" w:cs="Times New Roman"/>
          <w:sz w:val="24"/>
          <w:szCs w:val="24"/>
        </w:rPr>
        <w:t xml:space="preserve"> </w:t>
      </w:r>
    </w:p>
    <w:p w14:paraId="23C1637B" w14:textId="77777777" w:rsidR="00BE2ED4" w:rsidRPr="00617DF3" w:rsidRDefault="00BE2ED4" w:rsidP="003C6959">
      <w:pPr>
        <w:spacing w:after="0" w:line="240" w:lineRule="auto"/>
        <w:jc w:val="both"/>
        <w:rPr>
          <w:rFonts w:ascii="Times New Roman" w:hAnsi="Times New Roman" w:cs="Times New Roman"/>
          <w:sz w:val="24"/>
          <w:szCs w:val="24"/>
        </w:rPr>
      </w:pPr>
    </w:p>
    <w:p w14:paraId="3BEF95D6" w14:textId="7A973DAD" w:rsidR="00B32CA2" w:rsidRPr="00617DF3" w:rsidRDefault="00293082" w:rsidP="003C6959">
      <w:pPr>
        <w:spacing w:after="0" w:line="240" w:lineRule="auto"/>
        <w:jc w:val="both"/>
        <w:rPr>
          <w:rFonts w:ascii="Times New Roman" w:hAnsi="Times New Roman" w:cs="Times New Roman"/>
          <w:sz w:val="24"/>
          <w:szCs w:val="24"/>
        </w:rPr>
      </w:pPr>
      <w:r w:rsidRPr="00617DF3">
        <w:rPr>
          <w:rFonts w:ascii="Times New Roman" w:hAnsi="Times New Roman" w:cs="Times New Roman"/>
          <w:sz w:val="24"/>
          <w:szCs w:val="24"/>
        </w:rPr>
        <w:t xml:space="preserve">Adicionalmente, conviene </w:t>
      </w:r>
      <w:r w:rsidR="00BE2ED4" w:rsidRPr="00617DF3">
        <w:rPr>
          <w:rFonts w:ascii="Times New Roman" w:hAnsi="Times New Roman" w:cs="Times New Roman"/>
          <w:sz w:val="24"/>
          <w:szCs w:val="24"/>
        </w:rPr>
        <w:t xml:space="preserve">(i) </w:t>
      </w:r>
      <w:r w:rsidRPr="00617DF3">
        <w:rPr>
          <w:rFonts w:ascii="Times New Roman" w:hAnsi="Times New Roman" w:cs="Times New Roman"/>
          <w:sz w:val="24"/>
          <w:szCs w:val="24"/>
        </w:rPr>
        <w:t>desplegar diseños longitudinales para estimar retención, transferencia y desempeño aplicado</w:t>
      </w:r>
      <w:r w:rsidR="00471112" w:rsidRPr="00617DF3">
        <w:rPr>
          <w:rFonts w:ascii="Times New Roman" w:hAnsi="Times New Roman" w:cs="Times New Roman"/>
          <w:sz w:val="24"/>
          <w:szCs w:val="24"/>
        </w:rPr>
        <w:t>,</w:t>
      </w:r>
      <w:r w:rsidRPr="00617DF3">
        <w:rPr>
          <w:rFonts w:ascii="Times New Roman" w:hAnsi="Times New Roman" w:cs="Times New Roman"/>
          <w:sz w:val="24"/>
          <w:szCs w:val="24"/>
        </w:rPr>
        <w:t xml:space="preserve"> así como análisis multinivel que distingan varianza entre estudiantes, cursos</w:t>
      </w:r>
      <w:r w:rsidR="00F21E0A" w:rsidRPr="00617DF3">
        <w:rPr>
          <w:rFonts w:ascii="Times New Roman" w:hAnsi="Times New Roman" w:cs="Times New Roman"/>
          <w:sz w:val="24"/>
          <w:szCs w:val="24"/>
        </w:rPr>
        <w:t xml:space="preserve"> y tareas auténticas posteriores</w:t>
      </w:r>
      <w:r w:rsidR="00BE2ED4" w:rsidRPr="00617DF3">
        <w:rPr>
          <w:rFonts w:ascii="Times New Roman" w:hAnsi="Times New Roman" w:cs="Times New Roman"/>
          <w:sz w:val="24"/>
          <w:szCs w:val="24"/>
        </w:rPr>
        <w:t>;</w:t>
      </w:r>
      <w:r w:rsidR="00880315" w:rsidRPr="00617DF3">
        <w:rPr>
          <w:rFonts w:ascii="Times New Roman" w:hAnsi="Times New Roman" w:cs="Times New Roman"/>
          <w:sz w:val="24"/>
          <w:szCs w:val="24"/>
        </w:rPr>
        <w:t xml:space="preserve"> </w:t>
      </w:r>
      <w:r w:rsidR="00BE2ED4" w:rsidRPr="00617DF3">
        <w:rPr>
          <w:rFonts w:ascii="Times New Roman" w:hAnsi="Times New Roman" w:cs="Times New Roman"/>
          <w:sz w:val="24"/>
          <w:szCs w:val="24"/>
        </w:rPr>
        <w:t>(</w:t>
      </w:r>
      <w:proofErr w:type="spellStart"/>
      <w:r w:rsidR="00BE2ED4" w:rsidRPr="00617DF3">
        <w:rPr>
          <w:rFonts w:ascii="Times New Roman" w:hAnsi="Times New Roman" w:cs="Times New Roman"/>
          <w:sz w:val="24"/>
          <w:szCs w:val="24"/>
        </w:rPr>
        <w:t>ii</w:t>
      </w:r>
      <w:proofErr w:type="spellEnd"/>
      <w:r w:rsidR="00BE2ED4" w:rsidRPr="00617DF3">
        <w:rPr>
          <w:rFonts w:ascii="Times New Roman" w:hAnsi="Times New Roman" w:cs="Times New Roman"/>
          <w:sz w:val="24"/>
          <w:szCs w:val="24"/>
        </w:rPr>
        <w:t xml:space="preserve">) </w:t>
      </w:r>
      <w:r w:rsidR="00D667AE" w:rsidRPr="00617DF3">
        <w:rPr>
          <w:rFonts w:ascii="Times New Roman" w:hAnsi="Times New Roman" w:cs="Times New Roman"/>
          <w:sz w:val="24"/>
          <w:szCs w:val="24"/>
        </w:rPr>
        <w:t>i</w:t>
      </w:r>
      <w:r w:rsidR="00880315" w:rsidRPr="00617DF3">
        <w:rPr>
          <w:rFonts w:ascii="Times New Roman" w:hAnsi="Times New Roman" w:cs="Times New Roman"/>
          <w:sz w:val="24"/>
          <w:szCs w:val="24"/>
        </w:rPr>
        <w:t xml:space="preserve">ncorporar </w:t>
      </w:r>
      <w:r w:rsidR="002C4FBC" w:rsidRPr="00617DF3">
        <w:rPr>
          <w:rFonts w:ascii="Times New Roman" w:hAnsi="Times New Roman" w:cs="Times New Roman"/>
          <w:sz w:val="24"/>
          <w:szCs w:val="24"/>
        </w:rPr>
        <w:t xml:space="preserve">diseños mixtos (cuantitativo-cualitativo con </w:t>
      </w:r>
      <w:r w:rsidR="00040DAC" w:rsidRPr="00617DF3">
        <w:rPr>
          <w:rFonts w:ascii="Times New Roman" w:hAnsi="Times New Roman" w:cs="Times New Roman"/>
          <w:sz w:val="24"/>
          <w:szCs w:val="24"/>
        </w:rPr>
        <w:t>verbalizaciones en voz alta</w:t>
      </w:r>
      <w:r w:rsidR="00EB4D54" w:rsidRPr="00617DF3">
        <w:rPr>
          <w:rFonts w:ascii="Times New Roman" w:hAnsi="Times New Roman" w:cs="Times New Roman"/>
          <w:sz w:val="24"/>
          <w:szCs w:val="24"/>
        </w:rPr>
        <w:t xml:space="preserve"> y métricas objetivas</w:t>
      </w:r>
      <w:r w:rsidR="002C4FBC" w:rsidRPr="00617DF3">
        <w:rPr>
          <w:rFonts w:ascii="Times New Roman" w:hAnsi="Times New Roman" w:cs="Times New Roman"/>
          <w:sz w:val="24"/>
          <w:szCs w:val="24"/>
        </w:rPr>
        <w:t>)</w:t>
      </w:r>
      <w:r w:rsidR="00C82C94" w:rsidRPr="00617DF3">
        <w:rPr>
          <w:rFonts w:ascii="Times New Roman" w:hAnsi="Times New Roman" w:cs="Times New Roman"/>
          <w:sz w:val="24"/>
          <w:szCs w:val="24"/>
        </w:rPr>
        <w:t xml:space="preserve"> pudiera ser valioso</w:t>
      </w:r>
      <w:r w:rsidR="003713C9" w:rsidRPr="00617DF3">
        <w:rPr>
          <w:rFonts w:ascii="Times New Roman" w:hAnsi="Times New Roman" w:cs="Times New Roman"/>
          <w:sz w:val="24"/>
          <w:szCs w:val="24"/>
        </w:rPr>
        <w:t xml:space="preserve"> como vehículo de comprobación</w:t>
      </w:r>
      <w:r w:rsidR="00BE2ED4" w:rsidRPr="00617DF3">
        <w:rPr>
          <w:rFonts w:ascii="Times New Roman" w:hAnsi="Times New Roman" w:cs="Times New Roman"/>
          <w:sz w:val="24"/>
          <w:szCs w:val="24"/>
        </w:rPr>
        <w:t>; (</w:t>
      </w:r>
      <w:proofErr w:type="spellStart"/>
      <w:r w:rsidR="00D667AE" w:rsidRPr="00617DF3">
        <w:rPr>
          <w:rFonts w:ascii="Times New Roman" w:hAnsi="Times New Roman" w:cs="Times New Roman"/>
          <w:sz w:val="24"/>
          <w:szCs w:val="24"/>
        </w:rPr>
        <w:t>iii</w:t>
      </w:r>
      <w:proofErr w:type="spellEnd"/>
      <w:r w:rsidR="00BE2ED4" w:rsidRPr="00617DF3">
        <w:rPr>
          <w:rFonts w:ascii="Times New Roman" w:hAnsi="Times New Roman" w:cs="Times New Roman"/>
          <w:sz w:val="24"/>
          <w:szCs w:val="24"/>
        </w:rPr>
        <w:t xml:space="preserve">) </w:t>
      </w:r>
      <w:r w:rsidR="00D667AE" w:rsidRPr="00617DF3">
        <w:rPr>
          <w:rFonts w:ascii="Times New Roman" w:hAnsi="Times New Roman" w:cs="Times New Roman"/>
          <w:sz w:val="24"/>
          <w:szCs w:val="24"/>
        </w:rPr>
        <w:t>r</w:t>
      </w:r>
      <w:r w:rsidR="005E34E3" w:rsidRPr="00617DF3">
        <w:rPr>
          <w:rFonts w:ascii="Times New Roman" w:hAnsi="Times New Roman" w:cs="Times New Roman"/>
          <w:sz w:val="24"/>
          <w:szCs w:val="24"/>
        </w:rPr>
        <w:t>ealizar estudios para explorar diferencias entre poblaciones estudiantiles, tipos de tarea y contextos culturales</w:t>
      </w:r>
      <w:r w:rsidR="00BE2ED4" w:rsidRPr="00617DF3">
        <w:rPr>
          <w:rFonts w:ascii="Times New Roman" w:hAnsi="Times New Roman" w:cs="Times New Roman"/>
          <w:sz w:val="24"/>
          <w:szCs w:val="24"/>
        </w:rPr>
        <w:t>; y (</w:t>
      </w:r>
      <w:proofErr w:type="spellStart"/>
      <w:r w:rsidR="00BE2ED4" w:rsidRPr="00617DF3">
        <w:rPr>
          <w:rFonts w:ascii="Times New Roman" w:hAnsi="Times New Roman" w:cs="Times New Roman"/>
          <w:sz w:val="24"/>
          <w:szCs w:val="24"/>
        </w:rPr>
        <w:t>iv</w:t>
      </w:r>
      <w:proofErr w:type="spellEnd"/>
      <w:r w:rsidR="00BE2ED4" w:rsidRPr="00617DF3">
        <w:rPr>
          <w:rFonts w:ascii="Times New Roman" w:hAnsi="Times New Roman" w:cs="Times New Roman"/>
          <w:sz w:val="24"/>
          <w:szCs w:val="24"/>
        </w:rPr>
        <w:t>)</w:t>
      </w:r>
      <w:r w:rsidR="006B34AD" w:rsidRPr="00617DF3">
        <w:rPr>
          <w:rFonts w:ascii="Times New Roman" w:hAnsi="Times New Roman" w:cs="Times New Roman"/>
          <w:sz w:val="24"/>
          <w:szCs w:val="24"/>
        </w:rPr>
        <w:t xml:space="preserve"> utilizar </w:t>
      </w:r>
      <w:proofErr w:type="spellStart"/>
      <w:r w:rsidR="006B34AD" w:rsidRPr="00617DF3">
        <w:rPr>
          <w:rFonts w:ascii="Times New Roman" w:hAnsi="Times New Roman" w:cs="Times New Roman"/>
          <w:sz w:val="24"/>
          <w:szCs w:val="24"/>
        </w:rPr>
        <w:t>pre-registro</w:t>
      </w:r>
      <w:proofErr w:type="spellEnd"/>
      <w:r w:rsidR="00BB3CCC" w:rsidRPr="00617DF3">
        <w:rPr>
          <w:rFonts w:ascii="Times New Roman" w:hAnsi="Times New Roman" w:cs="Times New Roman"/>
          <w:sz w:val="24"/>
          <w:szCs w:val="24"/>
        </w:rPr>
        <w:t xml:space="preserve"> del proyecto</w:t>
      </w:r>
      <w:r w:rsidR="006B34AD" w:rsidRPr="00617DF3">
        <w:rPr>
          <w:rFonts w:ascii="Times New Roman" w:hAnsi="Times New Roman" w:cs="Times New Roman"/>
          <w:sz w:val="24"/>
          <w:szCs w:val="24"/>
        </w:rPr>
        <w:t xml:space="preserve"> (p. ej., </w:t>
      </w:r>
      <w:r w:rsidR="00E47D08" w:rsidRPr="00617DF3">
        <w:rPr>
          <w:rFonts w:ascii="Times New Roman" w:hAnsi="Times New Roman" w:cs="Times New Roman"/>
          <w:sz w:val="24"/>
          <w:szCs w:val="24"/>
        </w:rPr>
        <w:t xml:space="preserve">Open </w:t>
      </w:r>
      <w:proofErr w:type="spellStart"/>
      <w:r w:rsidR="00E47D08" w:rsidRPr="00617DF3">
        <w:rPr>
          <w:rFonts w:ascii="Times New Roman" w:hAnsi="Times New Roman" w:cs="Times New Roman"/>
          <w:sz w:val="24"/>
          <w:szCs w:val="24"/>
        </w:rPr>
        <w:t>Science</w:t>
      </w:r>
      <w:proofErr w:type="spellEnd"/>
      <w:r w:rsidR="00E47D08" w:rsidRPr="00617DF3">
        <w:rPr>
          <w:rFonts w:ascii="Times New Roman" w:hAnsi="Times New Roman" w:cs="Times New Roman"/>
          <w:sz w:val="24"/>
          <w:szCs w:val="24"/>
        </w:rPr>
        <w:t xml:space="preserve"> Framework</w:t>
      </w:r>
      <w:r w:rsidR="006B34AD" w:rsidRPr="00617DF3">
        <w:rPr>
          <w:rFonts w:ascii="Times New Roman" w:hAnsi="Times New Roman" w:cs="Times New Roman"/>
          <w:sz w:val="24"/>
          <w:szCs w:val="24"/>
        </w:rPr>
        <w:t>) para reforzar transparencia en próximos estudios.</w:t>
      </w:r>
    </w:p>
    <w:p w14:paraId="52399E42" w14:textId="77777777" w:rsidR="005A0986" w:rsidRPr="00617DF3" w:rsidRDefault="005A0986" w:rsidP="003C6959">
      <w:pPr>
        <w:spacing w:after="0" w:line="240" w:lineRule="auto"/>
        <w:jc w:val="both"/>
        <w:rPr>
          <w:rFonts w:ascii="Times New Roman" w:hAnsi="Times New Roman" w:cs="Times New Roman"/>
          <w:sz w:val="24"/>
          <w:szCs w:val="24"/>
        </w:rPr>
      </w:pPr>
    </w:p>
    <w:p w14:paraId="0B850804" w14:textId="65297730" w:rsidR="00293082" w:rsidRPr="00617DF3" w:rsidRDefault="005A0986" w:rsidP="003C6959">
      <w:pPr>
        <w:spacing w:after="0" w:line="240" w:lineRule="auto"/>
        <w:jc w:val="both"/>
        <w:rPr>
          <w:rFonts w:ascii="Times New Roman" w:hAnsi="Times New Roman" w:cs="Times New Roman"/>
          <w:sz w:val="24"/>
          <w:szCs w:val="24"/>
        </w:rPr>
      </w:pPr>
      <w:r w:rsidRPr="00617DF3">
        <w:rPr>
          <w:rFonts w:ascii="Times New Roman" w:hAnsi="Times New Roman" w:cs="Times New Roman"/>
          <w:sz w:val="24"/>
          <w:szCs w:val="24"/>
        </w:rPr>
        <w:t xml:space="preserve">En cuestión operativa, la aplicación del neuromarketing en entornos universitarios presenta limitaciones prácticas. </w:t>
      </w:r>
      <w:proofErr w:type="spellStart"/>
      <w:r w:rsidRPr="00617DF3">
        <w:rPr>
          <w:rFonts w:ascii="Times New Roman" w:hAnsi="Times New Roman" w:cs="Times New Roman"/>
          <w:sz w:val="24"/>
          <w:szCs w:val="24"/>
        </w:rPr>
        <w:t>Alsharif</w:t>
      </w:r>
      <w:proofErr w:type="spellEnd"/>
      <w:r w:rsidRPr="00617DF3">
        <w:rPr>
          <w:rFonts w:ascii="Times New Roman" w:hAnsi="Times New Roman" w:cs="Times New Roman"/>
          <w:sz w:val="24"/>
          <w:szCs w:val="24"/>
        </w:rPr>
        <w:t xml:space="preserve"> et al. (2023) recomiendan afrontarlas mediante redes de colaboración y la adopción de instrumentación manual de bajo costo. </w:t>
      </w:r>
      <w:r w:rsidR="00293082" w:rsidRPr="00617DF3">
        <w:rPr>
          <w:rFonts w:ascii="Times New Roman" w:hAnsi="Times New Roman" w:cs="Times New Roman"/>
          <w:sz w:val="24"/>
          <w:szCs w:val="24"/>
        </w:rPr>
        <w:t>Estos desarrollos consolidarán la evidencia sobre la utilidad de las actividades experienciales de neuro</w:t>
      </w:r>
      <w:r w:rsidR="00777BB4" w:rsidRPr="00617DF3">
        <w:rPr>
          <w:rFonts w:ascii="Times New Roman" w:hAnsi="Times New Roman" w:cs="Times New Roman"/>
          <w:sz w:val="24"/>
          <w:szCs w:val="24"/>
        </w:rPr>
        <w:t>marketing</w:t>
      </w:r>
      <w:r w:rsidR="00293082" w:rsidRPr="00617DF3">
        <w:rPr>
          <w:rFonts w:ascii="Times New Roman" w:hAnsi="Times New Roman" w:cs="Times New Roman"/>
          <w:sz w:val="24"/>
          <w:szCs w:val="24"/>
        </w:rPr>
        <w:t xml:space="preserve"> y su impacto sostenible en el aprendizaje de orden superior.</w:t>
      </w:r>
    </w:p>
    <w:p w14:paraId="181D49CC" w14:textId="77777777" w:rsidR="00C5505D" w:rsidRPr="00617DF3" w:rsidRDefault="00C5505D" w:rsidP="003C6959">
      <w:pPr>
        <w:spacing w:after="0" w:line="240" w:lineRule="auto"/>
        <w:jc w:val="both"/>
        <w:rPr>
          <w:rFonts w:ascii="Times New Roman" w:hAnsi="Times New Roman" w:cs="Times New Roman"/>
          <w:sz w:val="24"/>
          <w:szCs w:val="24"/>
        </w:rPr>
      </w:pPr>
    </w:p>
    <w:p w14:paraId="7799E994" w14:textId="77777777" w:rsidR="00D754D5" w:rsidRPr="00617DF3" w:rsidRDefault="00D754D5">
      <w:pPr>
        <w:rPr>
          <w:rFonts w:ascii="Times New Roman" w:hAnsi="Times New Roman" w:cs="Times New Roman"/>
          <w:b/>
          <w:bCs/>
          <w:sz w:val="24"/>
          <w:szCs w:val="24"/>
        </w:rPr>
      </w:pPr>
      <w:r w:rsidRPr="00617DF3">
        <w:rPr>
          <w:rFonts w:ascii="Times New Roman" w:hAnsi="Times New Roman" w:cs="Times New Roman"/>
          <w:b/>
          <w:bCs/>
          <w:sz w:val="24"/>
          <w:szCs w:val="24"/>
        </w:rPr>
        <w:br w:type="page"/>
      </w:r>
    </w:p>
    <w:p w14:paraId="656860F6" w14:textId="4270AC97" w:rsidR="00711A43" w:rsidRPr="00617DF3" w:rsidRDefault="00711A43" w:rsidP="003C6959">
      <w:pPr>
        <w:spacing w:after="0" w:line="240" w:lineRule="auto"/>
        <w:jc w:val="center"/>
        <w:rPr>
          <w:rFonts w:ascii="Times New Roman" w:hAnsi="Times New Roman" w:cs="Times New Roman"/>
          <w:b/>
          <w:bCs/>
          <w:sz w:val="24"/>
          <w:szCs w:val="24"/>
        </w:rPr>
      </w:pPr>
      <w:r w:rsidRPr="00617DF3">
        <w:rPr>
          <w:rFonts w:ascii="Times New Roman" w:hAnsi="Times New Roman" w:cs="Times New Roman"/>
          <w:b/>
          <w:bCs/>
          <w:sz w:val="24"/>
          <w:szCs w:val="24"/>
        </w:rPr>
        <w:lastRenderedPageBreak/>
        <w:t>Referenc</w:t>
      </w:r>
      <w:r w:rsidR="00934B2F" w:rsidRPr="00617DF3">
        <w:rPr>
          <w:rFonts w:ascii="Times New Roman" w:hAnsi="Times New Roman" w:cs="Times New Roman"/>
          <w:b/>
          <w:bCs/>
          <w:sz w:val="24"/>
          <w:szCs w:val="24"/>
        </w:rPr>
        <w:t>ias</w:t>
      </w:r>
    </w:p>
    <w:p w14:paraId="6A51480D" w14:textId="77777777" w:rsidR="008619E7" w:rsidRPr="00617DF3" w:rsidRDefault="008619E7" w:rsidP="003C6959">
      <w:pPr>
        <w:spacing w:after="0" w:line="240" w:lineRule="auto"/>
        <w:ind w:left="709" w:hanging="709"/>
        <w:rPr>
          <w:rFonts w:ascii="Times New Roman" w:hAnsi="Times New Roman" w:cs="Times New Roman"/>
          <w:sz w:val="24"/>
          <w:szCs w:val="24"/>
        </w:rPr>
      </w:pPr>
    </w:p>
    <w:p w14:paraId="52584334" w14:textId="1ED87379" w:rsidR="00D83E87" w:rsidRPr="00617DF3" w:rsidRDefault="008619E7" w:rsidP="00D754D5">
      <w:pPr>
        <w:spacing w:after="0" w:line="240" w:lineRule="auto"/>
        <w:ind w:left="567" w:hanging="567"/>
        <w:jc w:val="both"/>
        <w:rPr>
          <w:rFonts w:ascii="Times New Roman" w:hAnsi="Times New Roman" w:cs="Times New Roman"/>
          <w:sz w:val="24"/>
          <w:szCs w:val="24"/>
          <w:lang w:val="en-US"/>
        </w:rPr>
      </w:pPr>
      <w:proofErr w:type="spellStart"/>
      <w:r w:rsidRPr="00617DF3">
        <w:rPr>
          <w:rFonts w:ascii="Times New Roman" w:hAnsi="Times New Roman" w:cs="Times New Roman"/>
          <w:sz w:val="24"/>
          <w:szCs w:val="24"/>
        </w:rPr>
        <w:t>Ab</w:t>
      </w:r>
      <w:r w:rsidR="00DA1080" w:rsidRPr="00617DF3">
        <w:rPr>
          <w:rFonts w:ascii="Times New Roman" w:hAnsi="Times New Roman" w:cs="Times New Roman"/>
          <w:sz w:val="24"/>
          <w:szCs w:val="24"/>
        </w:rPr>
        <w:t>a</w:t>
      </w:r>
      <w:r w:rsidRPr="00617DF3">
        <w:rPr>
          <w:rFonts w:ascii="Times New Roman" w:hAnsi="Times New Roman" w:cs="Times New Roman"/>
          <w:sz w:val="24"/>
          <w:szCs w:val="24"/>
        </w:rPr>
        <w:t>bkov</w:t>
      </w:r>
      <w:r w:rsidR="00DA1080" w:rsidRPr="00617DF3">
        <w:rPr>
          <w:rFonts w:ascii="Times New Roman" w:hAnsi="Times New Roman" w:cs="Times New Roman"/>
          <w:sz w:val="24"/>
          <w:szCs w:val="24"/>
        </w:rPr>
        <w:t>a</w:t>
      </w:r>
      <w:proofErr w:type="spellEnd"/>
      <w:r w:rsidRPr="00617DF3">
        <w:rPr>
          <w:rFonts w:ascii="Times New Roman" w:hAnsi="Times New Roman" w:cs="Times New Roman"/>
          <w:sz w:val="24"/>
          <w:szCs w:val="24"/>
        </w:rPr>
        <w:t xml:space="preserve">, </w:t>
      </w:r>
      <w:proofErr w:type="spellStart"/>
      <w:r w:rsidRPr="00617DF3">
        <w:rPr>
          <w:rFonts w:ascii="Times New Roman" w:hAnsi="Times New Roman" w:cs="Times New Roman"/>
          <w:sz w:val="24"/>
          <w:szCs w:val="24"/>
        </w:rPr>
        <w:t>M.</w:t>
      </w:r>
      <w:r w:rsidR="00AA7B37" w:rsidRPr="00617DF3">
        <w:rPr>
          <w:rFonts w:ascii="Times New Roman" w:hAnsi="Times New Roman" w:cs="Times New Roman"/>
          <w:sz w:val="24"/>
          <w:szCs w:val="24"/>
        </w:rPr>
        <w:t>Yu</w:t>
      </w:r>
      <w:proofErr w:type="spellEnd"/>
      <w:r w:rsidR="00AA7B37" w:rsidRPr="00617DF3">
        <w:rPr>
          <w:rFonts w:ascii="Times New Roman" w:hAnsi="Times New Roman" w:cs="Times New Roman"/>
          <w:sz w:val="24"/>
          <w:szCs w:val="24"/>
        </w:rPr>
        <w:t>.</w:t>
      </w:r>
      <w:r w:rsidR="00DA1080" w:rsidRPr="00617DF3">
        <w:rPr>
          <w:rFonts w:ascii="Times New Roman" w:hAnsi="Times New Roman" w:cs="Times New Roman"/>
          <w:sz w:val="24"/>
          <w:szCs w:val="24"/>
        </w:rPr>
        <w:t xml:space="preserve"> </w:t>
      </w:r>
      <w:r w:rsidR="003C3BA6" w:rsidRPr="00617DF3">
        <w:rPr>
          <w:rFonts w:ascii="Times New Roman" w:hAnsi="Times New Roman" w:cs="Times New Roman"/>
          <w:sz w:val="24"/>
          <w:szCs w:val="24"/>
        </w:rPr>
        <w:t>y</w:t>
      </w:r>
      <w:r w:rsidR="00DA1080" w:rsidRPr="00617DF3">
        <w:rPr>
          <w:rFonts w:ascii="Times New Roman" w:hAnsi="Times New Roman" w:cs="Times New Roman"/>
          <w:sz w:val="24"/>
          <w:szCs w:val="24"/>
        </w:rPr>
        <w:t xml:space="preserve"> </w:t>
      </w:r>
      <w:proofErr w:type="spellStart"/>
      <w:r w:rsidR="00DA1080" w:rsidRPr="00617DF3">
        <w:rPr>
          <w:rFonts w:ascii="Times New Roman" w:hAnsi="Times New Roman" w:cs="Times New Roman"/>
          <w:sz w:val="24"/>
          <w:szCs w:val="24"/>
        </w:rPr>
        <w:t>Leontieva</w:t>
      </w:r>
      <w:proofErr w:type="spellEnd"/>
      <w:r w:rsidR="00DA1080" w:rsidRPr="00617DF3">
        <w:rPr>
          <w:rFonts w:ascii="Times New Roman" w:hAnsi="Times New Roman" w:cs="Times New Roman"/>
          <w:sz w:val="24"/>
          <w:szCs w:val="24"/>
        </w:rPr>
        <w:t>, V.L. (201</w:t>
      </w:r>
      <w:r w:rsidR="00960F85" w:rsidRPr="00617DF3">
        <w:rPr>
          <w:rFonts w:ascii="Times New Roman" w:hAnsi="Times New Roman" w:cs="Times New Roman"/>
          <w:sz w:val="24"/>
          <w:szCs w:val="24"/>
        </w:rPr>
        <w:t>8</w:t>
      </w:r>
      <w:r w:rsidR="00DA1080" w:rsidRPr="00617DF3">
        <w:rPr>
          <w:rFonts w:ascii="Times New Roman" w:hAnsi="Times New Roman" w:cs="Times New Roman"/>
          <w:sz w:val="24"/>
          <w:szCs w:val="24"/>
        </w:rPr>
        <w:t xml:space="preserve">). </w:t>
      </w:r>
      <w:r w:rsidR="00B34775" w:rsidRPr="00617DF3">
        <w:rPr>
          <w:rFonts w:ascii="Times New Roman" w:hAnsi="Times New Roman" w:cs="Times New Roman"/>
          <w:sz w:val="24"/>
          <w:szCs w:val="24"/>
          <w:lang w:val="en-US"/>
        </w:rPr>
        <w:t xml:space="preserve">Neuromarketing for Education: </w:t>
      </w:r>
      <w:r w:rsidR="002A30C4" w:rsidRPr="00617DF3">
        <w:rPr>
          <w:rFonts w:ascii="Times New Roman" w:hAnsi="Times New Roman" w:cs="Times New Roman"/>
          <w:sz w:val="24"/>
          <w:szCs w:val="24"/>
          <w:lang w:val="en-US"/>
        </w:rPr>
        <w:t>Rethinking</w:t>
      </w:r>
      <w:r w:rsidR="00960F85" w:rsidRPr="00617DF3">
        <w:rPr>
          <w:rFonts w:ascii="Times New Roman" w:hAnsi="Times New Roman" w:cs="Times New Roman"/>
          <w:sz w:val="24"/>
          <w:szCs w:val="24"/>
          <w:lang w:val="en-US"/>
        </w:rPr>
        <w:t xml:space="preserve"> Frameworks </w:t>
      </w:r>
      <w:r w:rsidR="00225B60" w:rsidRPr="00617DF3">
        <w:rPr>
          <w:rFonts w:ascii="Times New Roman" w:hAnsi="Times New Roman" w:cs="Times New Roman"/>
          <w:sz w:val="24"/>
          <w:szCs w:val="24"/>
          <w:lang w:val="en-US"/>
        </w:rPr>
        <w:t>f</w:t>
      </w:r>
      <w:r w:rsidR="00960F85" w:rsidRPr="00617DF3">
        <w:rPr>
          <w:rFonts w:ascii="Times New Roman" w:hAnsi="Times New Roman" w:cs="Times New Roman"/>
          <w:sz w:val="24"/>
          <w:szCs w:val="24"/>
          <w:lang w:val="en-US"/>
        </w:rPr>
        <w:t>or Marketing Activities</w:t>
      </w:r>
      <w:r w:rsidR="00B34775" w:rsidRPr="00617DF3">
        <w:rPr>
          <w:rFonts w:ascii="Times New Roman" w:hAnsi="Times New Roman" w:cs="Times New Roman"/>
          <w:sz w:val="24"/>
          <w:szCs w:val="24"/>
          <w:lang w:val="en-US"/>
        </w:rPr>
        <w:t>.</w:t>
      </w:r>
      <w:r w:rsidR="00225B60" w:rsidRPr="00617DF3">
        <w:rPr>
          <w:rFonts w:ascii="Times New Roman" w:hAnsi="Times New Roman" w:cs="Times New Roman"/>
          <w:sz w:val="24"/>
          <w:szCs w:val="24"/>
          <w:lang w:val="en-US"/>
        </w:rPr>
        <w:t xml:space="preserve"> </w:t>
      </w:r>
      <w:r w:rsidR="00225B60" w:rsidRPr="00617DF3">
        <w:rPr>
          <w:rFonts w:ascii="Times New Roman" w:hAnsi="Times New Roman" w:cs="Times New Roman"/>
          <w:i/>
          <w:iCs/>
          <w:sz w:val="24"/>
          <w:szCs w:val="24"/>
          <w:lang w:val="en-US"/>
        </w:rPr>
        <w:t>International Conference on Research Paradigm Transformation in Social Sciences.</w:t>
      </w:r>
      <w:r w:rsidR="008F18D4" w:rsidRPr="0061135D">
        <w:rPr>
          <w:rFonts w:ascii="Times New Roman" w:hAnsi="Times New Roman" w:cs="Times New Roman"/>
          <w:i/>
          <w:sz w:val="24"/>
          <w:szCs w:val="24"/>
          <w:lang w:val="en-US"/>
        </w:rPr>
        <w:t xml:space="preserve"> </w:t>
      </w:r>
      <w:r w:rsidR="00451AB3" w:rsidRPr="00617DF3">
        <w:rPr>
          <w:rFonts w:ascii="Times New Roman" w:hAnsi="Times New Roman" w:cs="Times New Roman"/>
          <w:i/>
          <w:iCs/>
          <w:sz w:val="24"/>
          <w:szCs w:val="24"/>
          <w:lang w:val="en-US"/>
        </w:rPr>
        <w:t xml:space="preserve">European Proceedings of Social and </w:t>
      </w:r>
      <w:proofErr w:type="spellStart"/>
      <w:r w:rsidR="00451AB3" w:rsidRPr="00617DF3">
        <w:rPr>
          <w:rFonts w:ascii="Times New Roman" w:hAnsi="Times New Roman" w:cs="Times New Roman"/>
          <w:i/>
          <w:iCs/>
          <w:sz w:val="24"/>
          <w:szCs w:val="24"/>
          <w:lang w:val="en-US"/>
        </w:rPr>
        <w:t>Behavioural</w:t>
      </w:r>
      <w:proofErr w:type="spellEnd"/>
      <w:r w:rsidR="00451AB3" w:rsidRPr="00617DF3">
        <w:rPr>
          <w:rFonts w:ascii="Times New Roman" w:hAnsi="Times New Roman" w:cs="Times New Roman"/>
          <w:i/>
          <w:iCs/>
          <w:sz w:val="24"/>
          <w:szCs w:val="24"/>
          <w:lang w:val="en-US"/>
        </w:rPr>
        <w:t xml:space="preserve"> Sciences</w:t>
      </w:r>
      <w:r w:rsidR="008F18D4" w:rsidRPr="00617DF3">
        <w:rPr>
          <w:rFonts w:ascii="Times New Roman" w:hAnsi="Times New Roman" w:cs="Times New Roman"/>
          <w:i/>
          <w:iCs/>
          <w:sz w:val="24"/>
          <w:szCs w:val="24"/>
          <w:lang w:val="en-US"/>
        </w:rPr>
        <w:t xml:space="preserve">, </w:t>
      </w:r>
      <w:r w:rsidR="00451AB3" w:rsidRPr="00617DF3">
        <w:rPr>
          <w:rFonts w:ascii="Times New Roman" w:hAnsi="Times New Roman" w:cs="Times New Roman"/>
          <w:sz w:val="24"/>
          <w:szCs w:val="24"/>
          <w:lang w:val="en-US"/>
        </w:rPr>
        <w:t>35</w:t>
      </w:r>
      <w:r w:rsidR="00FB1817" w:rsidRPr="00617DF3">
        <w:rPr>
          <w:rFonts w:ascii="Times New Roman" w:hAnsi="Times New Roman" w:cs="Times New Roman"/>
          <w:sz w:val="24"/>
          <w:szCs w:val="24"/>
          <w:lang w:val="en-US"/>
        </w:rPr>
        <w:t>, 1-9.</w:t>
      </w:r>
      <w:r w:rsidR="00FB1817" w:rsidRPr="00617DF3">
        <w:rPr>
          <w:rFonts w:ascii="Times New Roman" w:hAnsi="Times New Roman" w:cs="Times New Roman"/>
          <w:i/>
          <w:iCs/>
          <w:sz w:val="24"/>
          <w:szCs w:val="24"/>
          <w:lang w:val="en-US"/>
        </w:rPr>
        <w:t xml:space="preserve"> </w:t>
      </w:r>
      <w:hyperlink r:id="rId10" w:history="1">
        <w:r w:rsidR="00FB1817" w:rsidRPr="00617DF3">
          <w:rPr>
            <w:rStyle w:val="Hipervnculo"/>
            <w:rFonts w:ascii="Times New Roman" w:hAnsi="Times New Roman" w:cs="Times New Roman"/>
            <w:color w:val="auto"/>
            <w:sz w:val="24"/>
            <w:szCs w:val="24"/>
            <w:lang w:val="en-US"/>
          </w:rPr>
          <w:t>http://doi.org/10.15405/epsbs.2018.02.1</w:t>
        </w:r>
      </w:hyperlink>
    </w:p>
    <w:p w14:paraId="06159460" w14:textId="6C25ACF9" w:rsidR="002309B5" w:rsidRPr="00617DF3" w:rsidRDefault="00C257EF" w:rsidP="00D754D5">
      <w:pPr>
        <w:spacing w:after="0" w:line="240" w:lineRule="auto"/>
        <w:ind w:left="567" w:hanging="567"/>
        <w:jc w:val="both"/>
        <w:rPr>
          <w:rFonts w:ascii="Times New Roman" w:hAnsi="Times New Roman" w:cs="Times New Roman"/>
          <w:sz w:val="24"/>
          <w:szCs w:val="24"/>
          <w:lang w:val="en-US"/>
        </w:rPr>
      </w:pPr>
      <w:r w:rsidRPr="00617DF3">
        <w:rPr>
          <w:rFonts w:ascii="Times New Roman" w:hAnsi="Times New Roman" w:cs="Times New Roman"/>
          <w:sz w:val="24"/>
          <w:szCs w:val="24"/>
          <w:lang w:val="en-US"/>
        </w:rPr>
        <w:t xml:space="preserve">Alsharif, A., Salleh, N. Z., Hashem, A. R., </w:t>
      </w:r>
      <w:proofErr w:type="spellStart"/>
      <w:r w:rsidRPr="00617DF3">
        <w:rPr>
          <w:rFonts w:ascii="Times New Roman" w:hAnsi="Times New Roman" w:cs="Times New Roman"/>
          <w:sz w:val="24"/>
          <w:szCs w:val="24"/>
          <w:lang w:val="en-US"/>
        </w:rPr>
        <w:t>Khraiwish</w:t>
      </w:r>
      <w:proofErr w:type="spellEnd"/>
      <w:r w:rsidRPr="00617DF3">
        <w:rPr>
          <w:rFonts w:ascii="Times New Roman" w:hAnsi="Times New Roman" w:cs="Times New Roman"/>
          <w:sz w:val="24"/>
          <w:szCs w:val="24"/>
          <w:lang w:val="en-US"/>
        </w:rPr>
        <w:t xml:space="preserve">, A., </w:t>
      </w:r>
      <w:proofErr w:type="spellStart"/>
      <w:r w:rsidRPr="00617DF3">
        <w:rPr>
          <w:rFonts w:ascii="Times New Roman" w:hAnsi="Times New Roman" w:cs="Times New Roman"/>
          <w:sz w:val="24"/>
          <w:szCs w:val="24"/>
          <w:lang w:val="en-US"/>
        </w:rPr>
        <w:t>Putit</w:t>
      </w:r>
      <w:proofErr w:type="spellEnd"/>
      <w:r w:rsidRPr="00617DF3">
        <w:rPr>
          <w:rFonts w:ascii="Times New Roman" w:hAnsi="Times New Roman" w:cs="Times New Roman"/>
          <w:sz w:val="24"/>
          <w:szCs w:val="24"/>
          <w:lang w:val="en-US"/>
        </w:rPr>
        <w:t xml:space="preserve">, L., </w:t>
      </w:r>
      <w:r w:rsidR="003C3BA6" w:rsidRPr="00617DF3">
        <w:rPr>
          <w:rFonts w:ascii="Times New Roman" w:hAnsi="Times New Roman" w:cs="Times New Roman"/>
          <w:sz w:val="24"/>
          <w:szCs w:val="24"/>
          <w:lang w:val="en-US"/>
        </w:rPr>
        <w:t>y</w:t>
      </w:r>
      <w:r w:rsidRPr="00617DF3">
        <w:rPr>
          <w:rFonts w:ascii="Times New Roman" w:hAnsi="Times New Roman" w:cs="Times New Roman"/>
          <w:sz w:val="24"/>
          <w:szCs w:val="24"/>
          <w:lang w:val="en-US"/>
        </w:rPr>
        <w:t xml:space="preserve"> Arif, L. S. M. (2023). Exploring factors influencing neuromarketing implementation in Malaysian </w:t>
      </w:r>
      <w:r w:rsidR="00CE22C8" w:rsidRPr="00617DF3">
        <w:rPr>
          <w:rFonts w:ascii="Times New Roman" w:hAnsi="Times New Roman" w:cs="Times New Roman"/>
          <w:sz w:val="24"/>
          <w:szCs w:val="24"/>
          <w:lang w:val="en-US"/>
        </w:rPr>
        <w:t>u</w:t>
      </w:r>
      <w:r w:rsidRPr="00617DF3">
        <w:rPr>
          <w:rFonts w:ascii="Times New Roman" w:hAnsi="Times New Roman" w:cs="Times New Roman"/>
          <w:sz w:val="24"/>
          <w:szCs w:val="24"/>
          <w:lang w:val="en-US"/>
        </w:rPr>
        <w:t xml:space="preserve">niversities: Barriers and enablers. </w:t>
      </w:r>
      <w:r w:rsidRPr="00617DF3">
        <w:rPr>
          <w:rFonts w:ascii="Times New Roman" w:hAnsi="Times New Roman" w:cs="Times New Roman"/>
          <w:i/>
          <w:iCs/>
          <w:sz w:val="24"/>
          <w:szCs w:val="24"/>
          <w:lang w:val="en-US"/>
        </w:rPr>
        <w:t>Sustainability</w:t>
      </w:r>
      <w:r w:rsidRPr="00617DF3">
        <w:rPr>
          <w:rFonts w:ascii="Times New Roman" w:hAnsi="Times New Roman" w:cs="Times New Roman"/>
          <w:sz w:val="24"/>
          <w:szCs w:val="24"/>
          <w:lang w:val="en-US"/>
        </w:rPr>
        <w:t xml:space="preserve">, 15(5), 4603. </w:t>
      </w:r>
      <w:hyperlink r:id="rId11" w:history="1">
        <w:r w:rsidR="002309B5" w:rsidRPr="00617DF3">
          <w:rPr>
            <w:rStyle w:val="Hipervnculo"/>
            <w:rFonts w:ascii="Times New Roman" w:hAnsi="Times New Roman" w:cs="Times New Roman"/>
            <w:color w:val="auto"/>
            <w:sz w:val="24"/>
            <w:szCs w:val="24"/>
            <w:lang w:val="en-US"/>
          </w:rPr>
          <w:t>https://doi.org/10.3390/su15054603</w:t>
        </w:r>
      </w:hyperlink>
    </w:p>
    <w:p w14:paraId="1A2AD9B0" w14:textId="7C69BEB8" w:rsidR="00FB1444" w:rsidRPr="00617DF3" w:rsidRDefault="00FB1444" w:rsidP="0061135D">
      <w:pPr>
        <w:spacing w:after="0" w:line="240" w:lineRule="auto"/>
        <w:ind w:left="567" w:hanging="567"/>
        <w:jc w:val="both"/>
        <w:rPr>
          <w:rFonts w:ascii="Times New Roman" w:hAnsi="Times New Roman" w:cs="Times New Roman"/>
          <w:sz w:val="24"/>
          <w:szCs w:val="24"/>
          <w:lang w:val="en-US"/>
        </w:rPr>
      </w:pPr>
      <w:r w:rsidRPr="00617DF3">
        <w:rPr>
          <w:rFonts w:ascii="Times New Roman" w:hAnsi="Times New Roman" w:cs="Times New Roman"/>
          <w:sz w:val="24"/>
          <w:szCs w:val="24"/>
          <w:lang w:val="en-US"/>
        </w:rPr>
        <w:t xml:space="preserve">Anderson, L. W., </w:t>
      </w:r>
      <w:r w:rsidR="003C3BA6" w:rsidRPr="00617DF3">
        <w:rPr>
          <w:rFonts w:ascii="Times New Roman" w:hAnsi="Times New Roman" w:cs="Times New Roman"/>
          <w:sz w:val="24"/>
          <w:szCs w:val="24"/>
          <w:lang w:val="en-US"/>
        </w:rPr>
        <w:t>y</w:t>
      </w:r>
      <w:r w:rsidRPr="00617DF3">
        <w:rPr>
          <w:rFonts w:ascii="Times New Roman" w:hAnsi="Times New Roman" w:cs="Times New Roman"/>
          <w:sz w:val="24"/>
          <w:szCs w:val="24"/>
          <w:lang w:val="en-US"/>
        </w:rPr>
        <w:t xml:space="preserve"> Krathwohl, D. R. (Eds.). (2001). </w:t>
      </w:r>
      <w:r w:rsidRPr="00617DF3">
        <w:rPr>
          <w:rFonts w:ascii="Times New Roman" w:hAnsi="Times New Roman" w:cs="Times New Roman"/>
          <w:i/>
          <w:iCs/>
          <w:sz w:val="24"/>
          <w:szCs w:val="24"/>
          <w:lang w:val="en-US"/>
        </w:rPr>
        <w:t>A taxonomy for learning, teaching, and assessing: A revision of Bloom’s taxonomy of educational objectives</w:t>
      </w:r>
      <w:r w:rsidRPr="00617DF3">
        <w:rPr>
          <w:rFonts w:ascii="Times New Roman" w:hAnsi="Times New Roman" w:cs="Times New Roman"/>
          <w:sz w:val="24"/>
          <w:szCs w:val="24"/>
          <w:lang w:val="en-US"/>
        </w:rPr>
        <w:t>. Longman.</w:t>
      </w:r>
    </w:p>
    <w:p w14:paraId="01873398" w14:textId="00EFF2DA" w:rsidR="00711A43" w:rsidRPr="00617DF3" w:rsidRDefault="00711A43" w:rsidP="00D754D5">
      <w:pPr>
        <w:spacing w:after="0" w:line="240" w:lineRule="auto"/>
        <w:ind w:left="567" w:hanging="567"/>
        <w:jc w:val="both"/>
        <w:rPr>
          <w:rFonts w:ascii="Times New Roman" w:hAnsi="Times New Roman" w:cs="Times New Roman"/>
          <w:sz w:val="24"/>
          <w:szCs w:val="24"/>
          <w:lang w:val="en-US"/>
        </w:rPr>
      </w:pPr>
      <w:r w:rsidRPr="00617DF3">
        <w:rPr>
          <w:rFonts w:ascii="Times New Roman" w:hAnsi="Times New Roman" w:cs="Times New Roman"/>
          <w:sz w:val="24"/>
          <w:szCs w:val="24"/>
          <w:lang w:val="en-US"/>
        </w:rPr>
        <w:t xml:space="preserve">Bazzani, A., Ravaioli, S., Trieste, L., Faraguna, U., </w:t>
      </w:r>
      <w:r w:rsidR="003C3BA6" w:rsidRPr="00617DF3">
        <w:rPr>
          <w:rFonts w:ascii="Times New Roman" w:hAnsi="Times New Roman" w:cs="Times New Roman"/>
          <w:sz w:val="24"/>
          <w:szCs w:val="24"/>
          <w:lang w:val="en-US"/>
        </w:rPr>
        <w:t>y</w:t>
      </w:r>
      <w:r w:rsidRPr="00617DF3">
        <w:rPr>
          <w:rFonts w:ascii="Times New Roman" w:hAnsi="Times New Roman" w:cs="Times New Roman"/>
          <w:sz w:val="24"/>
          <w:szCs w:val="24"/>
          <w:lang w:val="en-US"/>
        </w:rPr>
        <w:t xml:space="preserve"> Turchetti, G. (2020). Is EEG suitable for marketing research? A systematic review. </w:t>
      </w:r>
      <w:r w:rsidRPr="00617DF3">
        <w:rPr>
          <w:rFonts w:ascii="Times New Roman" w:hAnsi="Times New Roman" w:cs="Times New Roman"/>
          <w:i/>
          <w:iCs/>
          <w:sz w:val="24"/>
          <w:szCs w:val="24"/>
          <w:lang w:val="en-US"/>
        </w:rPr>
        <w:t>Frontiers in Neuroscience, 14,</w:t>
      </w:r>
      <w:r w:rsidRPr="00617DF3">
        <w:rPr>
          <w:rFonts w:ascii="Times New Roman" w:hAnsi="Times New Roman" w:cs="Times New Roman"/>
          <w:sz w:val="24"/>
          <w:szCs w:val="24"/>
          <w:lang w:val="en-US"/>
        </w:rPr>
        <w:t xml:space="preserve"> 594566. </w:t>
      </w:r>
      <w:hyperlink r:id="rId12" w:history="1">
        <w:r w:rsidR="002309B5" w:rsidRPr="00617DF3">
          <w:rPr>
            <w:rStyle w:val="Hipervnculo"/>
            <w:rFonts w:ascii="Times New Roman" w:hAnsi="Times New Roman" w:cs="Times New Roman"/>
            <w:color w:val="auto"/>
            <w:sz w:val="24"/>
            <w:szCs w:val="24"/>
            <w:lang w:val="en-US"/>
          </w:rPr>
          <w:t>https://doi.org/10.3389/fnins.2020.594566</w:t>
        </w:r>
      </w:hyperlink>
    </w:p>
    <w:p w14:paraId="6764E2CE" w14:textId="10444707" w:rsidR="00CC6730" w:rsidRPr="00617DF3" w:rsidRDefault="00CC6730" w:rsidP="00D754D5">
      <w:pPr>
        <w:spacing w:after="0" w:line="240" w:lineRule="auto"/>
        <w:ind w:left="567" w:hanging="567"/>
        <w:jc w:val="both"/>
        <w:rPr>
          <w:rFonts w:ascii="Times New Roman" w:hAnsi="Times New Roman" w:cs="Times New Roman"/>
          <w:sz w:val="24"/>
          <w:szCs w:val="24"/>
          <w:lang w:val="en-US"/>
        </w:rPr>
      </w:pPr>
      <w:r w:rsidRPr="00617DF3">
        <w:rPr>
          <w:rFonts w:ascii="Times New Roman" w:hAnsi="Times New Roman" w:cs="Times New Roman"/>
          <w:sz w:val="24"/>
          <w:szCs w:val="24"/>
          <w:lang w:val="en-US"/>
        </w:rPr>
        <w:t xml:space="preserve">Bloom, B. S., Engelhart, M. D., Furst, E. J., Hill, W. H. </w:t>
      </w:r>
      <w:r w:rsidR="003C3BA6" w:rsidRPr="00617DF3">
        <w:rPr>
          <w:rFonts w:ascii="Times New Roman" w:hAnsi="Times New Roman" w:cs="Times New Roman"/>
          <w:sz w:val="24"/>
          <w:szCs w:val="24"/>
          <w:lang w:val="en-US"/>
        </w:rPr>
        <w:t>y</w:t>
      </w:r>
      <w:r w:rsidRPr="00617DF3">
        <w:rPr>
          <w:rFonts w:ascii="Times New Roman" w:hAnsi="Times New Roman" w:cs="Times New Roman"/>
          <w:sz w:val="24"/>
          <w:szCs w:val="24"/>
          <w:lang w:val="en-US"/>
        </w:rPr>
        <w:t xml:space="preserve"> Krathwohl, D. R. (1956). </w:t>
      </w:r>
      <w:r w:rsidRPr="00617DF3">
        <w:rPr>
          <w:rFonts w:ascii="Times New Roman" w:hAnsi="Times New Roman" w:cs="Times New Roman"/>
          <w:i/>
          <w:iCs/>
          <w:sz w:val="24"/>
          <w:szCs w:val="24"/>
          <w:lang w:val="en-US"/>
        </w:rPr>
        <w:t>Taxonomy of educational objectives: The classification of educational goals. Handbook I: Cognitive domain</w:t>
      </w:r>
      <w:r w:rsidRPr="00617DF3">
        <w:rPr>
          <w:rFonts w:ascii="Times New Roman" w:hAnsi="Times New Roman" w:cs="Times New Roman"/>
          <w:sz w:val="24"/>
          <w:szCs w:val="24"/>
          <w:lang w:val="en-US"/>
        </w:rPr>
        <w:t>. David McKay.</w:t>
      </w:r>
    </w:p>
    <w:p w14:paraId="4EDCE76A" w14:textId="345AECE7" w:rsidR="00BD5359" w:rsidRPr="00617DF3" w:rsidRDefault="00010E0A" w:rsidP="00D754D5">
      <w:pPr>
        <w:spacing w:after="0" w:line="240" w:lineRule="auto"/>
        <w:ind w:left="567" w:hanging="567"/>
        <w:jc w:val="both"/>
        <w:rPr>
          <w:rFonts w:ascii="Times New Roman" w:hAnsi="Times New Roman" w:cs="Times New Roman"/>
          <w:sz w:val="24"/>
          <w:szCs w:val="24"/>
        </w:rPr>
      </w:pPr>
      <w:r w:rsidRPr="00617DF3">
        <w:rPr>
          <w:rFonts w:ascii="Times New Roman" w:hAnsi="Times New Roman" w:cs="Times New Roman"/>
          <w:sz w:val="24"/>
          <w:szCs w:val="24"/>
        </w:rPr>
        <w:t xml:space="preserve">Dávalos Hernández, A. (2024). Inteligencia espiritual y neurociencia en el proceso de la motivación para el aprendizaje. </w:t>
      </w:r>
      <w:r w:rsidRPr="00617DF3">
        <w:rPr>
          <w:rFonts w:ascii="Times New Roman" w:hAnsi="Times New Roman" w:cs="Times New Roman"/>
          <w:i/>
          <w:iCs/>
          <w:sz w:val="24"/>
          <w:szCs w:val="24"/>
        </w:rPr>
        <w:t>Revista Iberoamericana para la Investigación y el Desarrollo Educativo</w:t>
      </w:r>
      <w:r w:rsidRPr="00617DF3">
        <w:rPr>
          <w:rFonts w:ascii="Times New Roman" w:hAnsi="Times New Roman" w:cs="Times New Roman"/>
          <w:sz w:val="24"/>
          <w:szCs w:val="24"/>
        </w:rPr>
        <w:t xml:space="preserve">, 14(28). </w:t>
      </w:r>
      <w:hyperlink r:id="rId13" w:history="1">
        <w:r w:rsidR="00357853" w:rsidRPr="00617DF3">
          <w:rPr>
            <w:rStyle w:val="Hipervnculo"/>
            <w:rFonts w:ascii="Times New Roman" w:hAnsi="Times New Roman" w:cs="Times New Roman"/>
            <w:color w:val="auto"/>
            <w:sz w:val="24"/>
            <w:szCs w:val="24"/>
          </w:rPr>
          <w:t>https://doi.org/10.23913/ride.v14i28.1783</w:t>
        </w:r>
      </w:hyperlink>
    </w:p>
    <w:p w14:paraId="49FDD1F8" w14:textId="3EF5525A" w:rsidR="00711A43" w:rsidRPr="00617DF3" w:rsidRDefault="00711A43" w:rsidP="00D754D5">
      <w:pPr>
        <w:spacing w:after="0" w:line="240" w:lineRule="auto"/>
        <w:ind w:left="567" w:hanging="567"/>
        <w:jc w:val="both"/>
        <w:rPr>
          <w:rFonts w:ascii="Times New Roman" w:hAnsi="Times New Roman" w:cs="Times New Roman"/>
          <w:sz w:val="24"/>
          <w:szCs w:val="24"/>
          <w:lang w:val="en-US"/>
        </w:rPr>
      </w:pPr>
      <w:r w:rsidRPr="0061135D">
        <w:rPr>
          <w:rFonts w:ascii="Times New Roman" w:hAnsi="Times New Roman" w:cs="Times New Roman"/>
          <w:sz w:val="24"/>
          <w:szCs w:val="24"/>
        </w:rPr>
        <w:t xml:space="preserve">Deng, R., </w:t>
      </w:r>
      <w:r w:rsidR="003C3BA6" w:rsidRPr="00617DF3">
        <w:rPr>
          <w:rFonts w:ascii="Times New Roman" w:hAnsi="Times New Roman" w:cs="Times New Roman"/>
          <w:sz w:val="24"/>
          <w:szCs w:val="24"/>
        </w:rPr>
        <w:t>y</w:t>
      </w:r>
      <w:r w:rsidRPr="0061135D">
        <w:rPr>
          <w:rFonts w:ascii="Times New Roman" w:hAnsi="Times New Roman" w:cs="Times New Roman"/>
          <w:sz w:val="24"/>
          <w:szCs w:val="24"/>
        </w:rPr>
        <w:t xml:space="preserve"> Gao, Y. (2022). </w:t>
      </w:r>
      <w:r w:rsidRPr="00617DF3">
        <w:rPr>
          <w:rFonts w:ascii="Times New Roman" w:hAnsi="Times New Roman" w:cs="Times New Roman"/>
          <w:sz w:val="24"/>
          <w:szCs w:val="24"/>
          <w:lang w:val="en-US"/>
        </w:rPr>
        <w:t xml:space="preserve">A review of eye-tracking research on video-based learning. </w:t>
      </w:r>
      <w:r w:rsidRPr="00617DF3">
        <w:rPr>
          <w:rFonts w:ascii="Times New Roman" w:hAnsi="Times New Roman" w:cs="Times New Roman"/>
          <w:i/>
          <w:iCs/>
          <w:sz w:val="24"/>
          <w:szCs w:val="24"/>
          <w:lang w:val="en-US"/>
        </w:rPr>
        <w:t xml:space="preserve">Education and Information Technologies, </w:t>
      </w:r>
      <w:r w:rsidRPr="0061135D">
        <w:rPr>
          <w:rFonts w:ascii="Times New Roman" w:hAnsi="Times New Roman" w:cs="Times New Roman"/>
          <w:sz w:val="24"/>
          <w:szCs w:val="24"/>
          <w:lang w:val="en-US"/>
        </w:rPr>
        <w:t>28</w:t>
      </w:r>
      <w:r w:rsidRPr="00617DF3">
        <w:rPr>
          <w:rFonts w:ascii="Times New Roman" w:hAnsi="Times New Roman" w:cs="Times New Roman"/>
          <w:i/>
          <w:iCs/>
          <w:sz w:val="24"/>
          <w:szCs w:val="24"/>
          <w:lang w:val="en-US"/>
        </w:rPr>
        <w:t>,</w:t>
      </w:r>
      <w:r w:rsidRPr="00617DF3">
        <w:rPr>
          <w:rFonts w:ascii="Times New Roman" w:hAnsi="Times New Roman" w:cs="Times New Roman"/>
          <w:sz w:val="24"/>
          <w:szCs w:val="24"/>
          <w:lang w:val="en-US"/>
        </w:rPr>
        <w:t xml:space="preserve"> </w:t>
      </w:r>
      <w:r w:rsidR="00047BED" w:rsidRPr="00617DF3">
        <w:rPr>
          <w:rFonts w:ascii="Times New Roman" w:hAnsi="Times New Roman" w:cs="Times New Roman"/>
          <w:sz w:val="24"/>
          <w:szCs w:val="24"/>
          <w:lang w:val="en-US"/>
        </w:rPr>
        <w:t>7671–7702</w:t>
      </w:r>
      <w:r w:rsidRPr="00617DF3">
        <w:rPr>
          <w:rFonts w:ascii="Times New Roman" w:hAnsi="Times New Roman" w:cs="Times New Roman"/>
          <w:sz w:val="24"/>
          <w:szCs w:val="24"/>
          <w:lang w:val="en-US"/>
        </w:rPr>
        <w:t xml:space="preserve">. </w:t>
      </w:r>
      <w:hyperlink r:id="rId14" w:history="1">
        <w:r w:rsidR="00F5599B" w:rsidRPr="00617DF3">
          <w:rPr>
            <w:rStyle w:val="Hipervnculo"/>
            <w:rFonts w:ascii="Times New Roman" w:hAnsi="Times New Roman" w:cs="Times New Roman"/>
            <w:color w:val="auto"/>
            <w:sz w:val="24"/>
            <w:szCs w:val="24"/>
            <w:lang w:val="en-US"/>
          </w:rPr>
          <w:t>https://doi.org/10.1007/s10639-022-11486-7</w:t>
        </w:r>
      </w:hyperlink>
    </w:p>
    <w:p w14:paraId="1792860F" w14:textId="34D3633F" w:rsidR="00217038" w:rsidRPr="00617DF3" w:rsidRDefault="001615F7" w:rsidP="00D754D5">
      <w:pPr>
        <w:spacing w:after="0" w:line="240" w:lineRule="auto"/>
        <w:ind w:left="567" w:hanging="567"/>
        <w:jc w:val="both"/>
        <w:rPr>
          <w:rFonts w:ascii="Times New Roman" w:hAnsi="Times New Roman" w:cs="Times New Roman"/>
          <w:sz w:val="24"/>
          <w:szCs w:val="24"/>
          <w:lang w:val="en-US"/>
        </w:rPr>
      </w:pPr>
      <w:r w:rsidRPr="00617DF3">
        <w:rPr>
          <w:rFonts w:ascii="Times New Roman" w:hAnsi="Times New Roman" w:cs="Times New Roman"/>
          <w:sz w:val="24"/>
          <w:szCs w:val="24"/>
          <w:lang w:val="en-US"/>
        </w:rPr>
        <w:t>Franco</w:t>
      </w:r>
      <w:r w:rsidR="00946035" w:rsidRPr="00617DF3">
        <w:rPr>
          <w:rFonts w:ascii="Times New Roman" w:hAnsi="Times New Roman" w:cs="Times New Roman"/>
          <w:sz w:val="24"/>
          <w:szCs w:val="24"/>
          <w:lang w:val="en-US"/>
        </w:rPr>
        <w:t xml:space="preserve">, A. </w:t>
      </w:r>
      <w:r w:rsidR="00247945" w:rsidRPr="00617DF3">
        <w:rPr>
          <w:rFonts w:ascii="Times New Roman" w:hAnsi="Times New Roman" w:cs="Times New Roman"/>
          <w:sz w:val="24"/>
          <w:szCs w:val="24"/>
          <w:lang w:val="en-US"/>
        </w:rPr>
        <w:t>y</w:t>
      </w:r>
      <w:r w:rsidR="00946035" w:rsidRPr="00617DF3">
        <w:rPr>
          <w:rFonts w:ascii="Times New Roman" w:hAnsi="Times New Roman" w:cs="Times New Roman"/>
          <w:sz w:val="24"/>
          <w:szCs w:val="24"/>
          <w:lang w:val="en-US"/>
        </w:rPr>
        <w:t xml:space="preserve"> Valdez, A. (2018). </w:t>
      </w:r>
      <w:r w:rsidR="007957DD" w:rsidRPr="00617DF3">
        <w:rPr>
          <w:rFonts w:ascii="Times New Roman" w:hAnsi="Times New Roman" w:cs="Times New Roman"/>
          <w:sz w:val="24"/>
          <w:szCs w:val="24"/>
          <w:lang w:val="en-US"/>
        </w:rPr>
        <w:t xml:space="preserve">Retailing </w:t>
      </w:r>
      <w:r w:rsidR="00616152" w:rsidRPr="00617DF3">
        <w:rPr>
          <w:rFonts w:ascii="Times New Roman" w:hAnsi="Times New Roman" w:cs="Times New Roman"/>
          <w:sz w:val="24"/>
          <w:szCs w:val="24"/>
          <w:lang w:val="en-US"/>
        </w:rPr>
        <w:t>l</w:t>
      </w:r>
      <w:r w:rsidR="007957DD" w:rsidRPr="00617DF3">
        <w:rPr>
          <w:rFonts w:ascii="Times New Roman" w:hAnsi="Times New Roman" w:cs="Times New Roman"/>
          <w:sz w:val="24"/>
          <w:szCs w:val="24"/>
          <w:lang w:val="en-US"/>
        </w:rPr>
        <w:t xml:space="preserve">aboratory: Delivering </w:t>
      </w:r>
      <w:r w:rsidR="00EE59DC" w:rsidRPr="00617DF3">
        <w:rPr>
          <w:rFonts w:ascii="Times New Roman" w:hAnsi="Times New Roman" w:cs="Times New Roman"/>
          <w:sz w:val="24"/>
          <w:szCs w:val="24"/>
          <w:lang w:val="en-US"/>
        </w:rPr>
        <w:t>s</w:t>
      </w:r>
      <w:r w:rsidR="007957DD" w:rsidRPr="00617DF3">
        <w:rPr>
          <w:rFonts w:ascii="Times New Roman" w:hAnsi="Times New Roman" w:cs="Times New Roman"/>
          <w:sz w:val="24"/>
          <w:szCs w:val="24"/>
          <w:lang w:val="en-US"/>
        </w:rPr>
        <w:t xml:space="preserve">kills </w:t>
      </w:r>
      <w:r w:rsidR="00EE59DC" w:rsidRPr="00617DF3">
        <w:rPr>
          <w:rFonts w:ascii="Times New Roman" w:hAnsi="Times New Roman" w:cs="Times New Roman"/>
          <w:sz w:val="24"/>
          <w:szCs w:val="24"/>
          <w:lang w:val="en-US"/>
        </w:rPr>
        <w:t>t</w:t>
      </w:r>
      <w:r w:rsidR="007957DD" w:rsidRPr="00617DF3">
        <w:rPr>
          <w:rFonts w:ascii="Times New Roman" w:hAnsi="Times New Roman" w:cs="Times New Roman"/>
          <w:sz w:val="24"/>
          <w:szCs w:val="24"/>
          <w:lang w:val="en-US"/>
        </w:rPr>
        <w:t xml:space="preserve">hrough </w:t>
      </w:r>
      <w:r w:rsidR="00EE59DC" w:rsidRPr="00617DF3">
        <w:rPr>
          <w:rFonts w:ascii="Times New Roman" w:hAnsi="Times New Roman" w:cs="Times New Roman"/>
          <w:sz w:val="24"/>
          <w:szCs w:val="24"/>
          <w:lang w:val="en-US"/>
        </w:rPr>
        <w:t>e</w:t>
      </w:r>
      <w:r w:rsidR="007957DD" w:rsidRPr="00617DF3">
        <w:rPr>
          <w:rFonts w:ascii="Times New Roman" w:hAnsi="Times New Roman" w:cs="Times New Roman"/>
          <w:sz w:val="24"/>
          <w:szCs w:val="24"/>
          <w:lang w:val="en-US"/>
        </w:rPr>
        <w:t xml:space="preserve">xperiential </w:t>
      </w:r>
      <w:r w:rsidR="00EE59DC" w:rsidRPr="00617DF3">
        <w:rPr>
          <w:rFonts w:ascii="Times New Roman" w:hAnsi="Times New Roman" w:cs="Times New Roman"/>
          <w:sz w:val="24"/>
          <w:szCs w:val="24"/>
          <w:lang w:val="en-US"/>
        </w:rPr>
        <w:t>l</w:t>
      </w:r>
      <w:r w:rsidR="007957DD" w:rsidRPr="00617DF3">
        <w:rPr>
          <w:rFonts w:ascii="Times New Roman" w:hAnsi="Times New Roman" w:cs="Times New Roman"/>
          <w:sz w:val="24"/>
          <w:szCs w:val="24"/>
          <w:lang w:val="en-US"/>
        </w:rPr>
        <w:t xml:space="preserve">earning. </w:t>
      </w:r>
      <w:r w:rsidR="007957DD" w:rsidRPr="00617DF3">
        <w:rPr>
          <w:rFonts w:ascii="Times New Roman" w:hAnsi="Times New Roman" w:cs="Times New Roman"/>
          <w:i/>
          <w:iCs/>
          <w:sz w:val="24"/>
          <w:szCs w:val="24"/>
          <w:lang w:val="en-US"/>
        </w:rPr>
        <w:t>Journal of Marketing Education</w:t>
      </w:r>
      <w:r w:rsidR="007957DD" w:rsidRPr="00617DF3">
        <w:rPr>
          <w:rFonts w:ascii="Times New Roman" w:hAnsi="Times New Roman" w:cs="Times New Roman"/>
          <w:sz w:val="24"/>
          <w:szCs w:val="24"/>
          <w:lang w:val="en-US"/>
        </w:rPr>
        <w:t>, 40 (1), 17-30</w:t>
      </w:r>
      <w:r w:rsidR="00B92230" w:rsidRPr="00617DF3">
        <w:rPr>
          <w:rFonts w:ascii="Times New Roman" w:hAnsi="Times New Roman" w:cs="Times New Roman"/>
          <w:sz w:val="24"/>
          <w:szCs w:val="24"/>
          <w:lang w:val="en-US"/>
        </w:rPr>
        <w:t xml:space="preserve">. </w:t>
      </w:r>
      <w:hyperlink r:id="rId15" w:history="1">
        <w:r w:rsidR="00BF31AF" w:rsidRPr="00617DF3">
          <w:rPr>
            <w:rStyle w:val="Hipervnculo"/>
            <w:rFonts w:ascii="Times New Roman" w:hAnsi="Times New Roman" w:cs="Times New Roman"/>
            <w:color w:val="auto"/>
            <w:sz w:val="24"/>
            <w:szCs w:val="24"/>
            <w:lang w:val="en-US"/>
          </w:rPr>
          <w:t>https://doi.org/10.1177/0273475317753679</w:t>
        </w:r>
      </w:hyperlink>
    </w:p>
    <w:p w14:paraId="296CF43B" w14:textId="28A94A1B" w:rsidR="00711A43" w:rsidRPr="0061135D" w:rsidRDefault="00711A43" w:rsidP="00D754D5">
      <w:pPr>
        <w:spacing w:after="0" w:line="240" w:lineRule="auto"/>
        <w:ind w:left="567" w:hanging="567"/>
        <w:jc w:val="both"/>
        <w:rPr>
          <w:rFonts w:ascii="Times New Roman" w:hAnsi="Times New Roman" w:cs="Times New Roman"/>
          <w:sz w:val="24"/>
          <w:szCs w:val="24"/>
        </w:rPr>
      </w:pPr>
      <w:r w:rsidRPr="00617DF3">
        <w:rPr>
          <w:rFonts w:ascii="Times New Roman" w:hAnsi="Times New Roman" w:cs="Times New Roman"/>
          <w:sz w:val="24"/>
          <w:szCs w:val="24"/>
          <w:lang w:val="en-US"/>
        </w:rPr>
        <w:t xml:space="preserve">Gremler, D. D., Hoffman, K. D., Keaveney, S. M. </w:t>
      </w:r>
      <w:r w:rsidR="003C3BA6" w:rsidRPr="00617DF3">
        <w:rPr>
          <w:rFonts w:ascii="Times New Roman" w:hAnsi="Times New Roman" w:cs="Times New Roman"/>
          <w:sz w:val="24"/>
          <w:szCs w:val="24"/>
          <w:lang w:val="en-US"/>
        </w:rPr>
        <w:t>y</w:t>
      </w:r>
      <w:r w:rsidRPr="00617DF3">
        <w:rPr>
          <w:rFonts w:ascii="Times New Roman" w:hAnsi="Times New Roman" w:cs="Times New Roman"/>
          <w:sz w:val="24"/>
          <w:szCs w:val="24"/>
          <w:lang w:val="en-US"/>
        </w:rPr>
        <w:t xml:space="preserve"> Wright, L. K. (2000). Experiential learning exercises in services marketing courses. </w:t>
      </w:r>
      <w:r w:rsidRPr="00617DF3">
        <w:rPr>
          <w:rFonts w:ascii="Times New Roman" w:hAnsi="Times New Roman" w:cs="Times New Roman"/>
          <w:i/>
          <w:iCs/>
          <w:sz w:val="24"/>
          <w:szCs w:val="24"/>
          <w:lang w:val="en-US"/>
        </w:rPr>
        <w:t xml:space="preserve">Journal of Marketing Education, </w:t>
      </w:r>
      <w:r w:rsidRPr="0061135D">
        <w:rPr>
          <w:rFonts w:ascii="Times New Roman" w:hAnsi="Times New Roman" w:cs="Times New Roman"/>
          <w:sz w:val="24"/>
          <w:szCs w:val="24"/>
          <w:lang w:val="en-US"/>
        </w:rPr>
        <w:t>22</w:t>
      </w:r>
      <w:r w:rsidRPr="00617DF3">
        <w:rPr>
          <w:rFonts w:ascii="Times New Roman" w:hAnsi="Times New Roman" w:cs="Times New Roman"/>
          <w:sz w:val="24"/>
          <w:szCs w:val="24"/>
          <w:lang w:val="en-US"/>
        </w:rPr>
        <w:t>(1), 35</w:t>
      </w:r>
      <w:r w:rsidR="0044664D" w:rsidRPr="00617DF3">
        <w:rPr>
          <w:rFonts w:ascii="Times New Roman" w:hAnsi="Times New Roman" w:cs="Times New Roman"/>
          <w:sz w:val="24"/>
          <w:szCs w:val="24"/>
          <w:lang w:val="en-US"/>
        </w:rPr>
        <w:t>-</w:t>
      </w:r>
      <w:r w:rsidRPr="00617DF3">
        <w:rPr>
          <w:rFonts w:ascii="Times New Roman" w:hAnsi="Times New Roman" w:cs="Times New Roman"/>
          <w:sz w:val="24"/>
          <w:szCs w:val="24"/>
          <w:lang w:val="en-US"/>
        </w:rPr>
        <w:t xml:space="preserve">44. </w:t>
      </w:r>
      <w:hyperlink r:id="rId16" w:history="1">
        <w:r w:rsidR="00BF31AF" w:rsidRPr="00617DF3">
          <w:rPr>
            <w:rStyle w:val="Hipervnculo"/>
            <w:rFonts w:ascii="Times New Roman" w:hAnsi="Times New Roman" w:cs="Times New Roman"/>
            <w:color w:val="auto"/>
            <w:sz w:val="24"/>
            <w:szCs w:val="24"/>
          </w:rPr>
          <w:t>https://doi.org/10.1177/0273475300221005</w:t>
        </w:r>
      </w:hyperlink>
    </w:p>
    <w:p w14:paraId="7F35CC6D" w14:textId="5BA64B24" w:rsidR="00232C0A" w:rsidRPr="00617DF3" w:rsidRDefault="00232C0A" w:rsidP="00D754D5">
      <w:pPr>
        <w:spacing w:after="0" w:line="240" w:lineRule="auto"/>
        <w:ind w:left="567" w:hanging="567"/>
        <w:jc w:val="both"/>
        <w:rPr>
          <w:rFonts w:ascii="Times New Roman" w:hAnsi="Times New Roman" w:cs="Times New Roman"/>
          <w:sz w:val="24"/>
          <w:szCs w:val="24"/>
          <w:lang w:val="en-US"/>
        </w:rPr>
      </w:pPr>
      <w:r w:rsidRPr="00617DF3">
        <w:rPr>
          <w:rFonts w:ascii="Times New Roman" w:hAnsi="Times New Roman" w:cs="Times New Roman"/>
          <w:sz w:val="24"/>
          <w:szCs w:val="24"/>
        </w:rPr>
        <w:t xml:space="preserve">Harris, J., </w:t>
      </w:r>
      <w:proofErr w:type="spellStart"/>
      <w:r w:rsidRPr="00617DF3">
        <w:rPr>
          <w:rFonts w:ascii="Times New Roman" w:hAnsi="Times New Roman" w:cs="Times New Roman"/>
          <w:sz w:val="24"/>
          <w:szCs w:val="24"/>
        </w:rPr>
        <w:t>Ciorciari</w:t>
      </w:r>
      <w:proofErr w:type="spellEnd"/>
      <w:r w:rsidRPr="00617DF3">
        <w:rPr>
          <w:rFonts w:ascii="Times New Roman" w:hAnsi="Times New Roman" w:cs="Times New Roman"/>
          <w:sz w:val="24"/>
          <w:szCs w:val="24"/>
        </w:rPr>
        <w:t xml:space="preserve">, J. </w:t>
      </w:r>
      <w:r w:rsidR="003C3BA6" w:rsidRPr="00617DF3">
        <w:rPr>
          <w:rFonts w:ascii="Times New Roman" w:hAnsi="Times New Roman" w:cs="Times New Roman"/>
          <w:sz w:val="24"/>
          <w:szCs w:val="24"/>
        </w:rPr>
        <w:t>y</w:t>
      </w:r>
      <w:r w:rsidRPr="00617DF3">
        <w:rPr>
          <w:rFonts w:ascii="Times New Roman" w:hAnsi="Times New Roman" w:cs="Times New Roman"/>
          <w:sz w:val="24"/>
          <w:szCs w:val="24"/>
        </w:rPr>
        <w:t xml:space="preserve"> </w:t>
      </w:r>
      <w:proofErr w:type="spellStart"/>
      <w:r w:rsidRPr="00617DF3">
        <w:rPr>
          <w:rFonts w:ascii="Times New Roman" w:hAnsi="Times New Roman" w:cs="Times New Roman"/>
          <w:sz w:val="24"/>
          <w:szCs w:val="24"/>
        </w:rPr>
        <w:t>Gountas</w:t>
      </w:r>
      <w:proofErr w:type="spellEnd"/>
      <w:r w:rsidRPr="00617DF3">
        <w:rPr>
          <w:rFonts w:ascii="Times New Roman" w:hAnsi="Times New Roman" w:cs="Times New Roman"/>
          <w:sz w:val="24"/>
          <w:szCs w:val="24"/>
        </w:rPr>
        <w:t xml:space="preserve">, J. (2018). </w:t>
      </w:r>
      <w:r w:rsidRPr="00617DF3">
        <w:rPr>
          <w:rFonts w:ascii="Times New Roman" w:hAnsi="Times New Roman" w:cs="Times New Roman"/>
          <w:sz w:val="24"/>
          <w:szCs w:val="24"/>
          <w:lang w:val="en-US"/>
        </w:rPr>
        <w:t xml:space="preserve">Consumer neuroscience for marketing researchers. </w:t>
      </w:r>
      <w:r w:rsidRPr="00617DF3">
        <w:rPr>
          <w:rFonts w:ascii="Times New Roman" w:hAnsi="Times New Roman" w:cs="Times New Roman"/>
          <w:i/>
          <w:iCs/>
          <w:sz w:val="24"/>
          <w:szCs w:val="24"/>
          <w:lang w:val="en-US"/>
        </w:rPr>
        <w:t xml:space="preserve">Journal of </w:t>
      </w:r>
      <w:r w:rsidR="004E02BD" w:rsidRPr="00617DF3">
        <w:rPr>
          <w:rFonts w:ascii="Times New Roman" w:hAnsi="Times New Roman" w:cs="Times New Roman"/>
          <w:i/>
          <w:iCs/>
          <w:sz w:val="24"/>
          <w:szCs w:val="24"/>
          <w:lang w:val="en-US"/>
        </w:rPr>
        <w:t>C</w:t>
      </w:r>
      <w:r w:rsidRPr="00617DF3">
        <w:rPr>
          <w:rFonts w:ascii="Times New Roman" w:hAnsi="Times New Roman" w:cs="Times New Roman"/>
          <w:i/>
          <w:iCs/>
          <w:sz w:val="24"/>
          <w:szCs w:val="24"/>
          <w:lang w:val="en-US"/>
        </w:rPr>
        <w:t xml:space="preserve">onsumer </w:t>
      </w:r>
      <w:proofErr w:type="spellStart"/>
      <w:r w:rsidR="00B02DA8" w:rsidRPr="00617DF3">
        <w:rPr>
          <w:rFonts w:ascii="Times New Roman" w:hAnsi="Times New Roman" w:cs="Times New Roman"/>
          <w:i/>
          <w:iCs/>
          <w:sz w:val="24"/>
          <w:szCs w:val="24"/>
          <w:lang w:val="en-US"/>
        </w:rPr>
        <w:t>Behavio</w:t>
      </w:r>
      <w:r w:rsidR="000677CF" w:rsidRPr="00617DF3">
        <w:rPr>
          <w:rFonts w:ascii="Times New Roman" w:hAnsi="Times New Roman" w:cs="Times New Roman"/>
          <w:i/>
          <w:iCs/>
          <w:sz w:val="24"/>
          <w:szCs w:val="24"/>
          <w:lang w:val="en-US"/>
        </w:rPr>
        <w:t>u</w:t>
      </w:r>
      <w:r w:rsidR="00B02DA8" w:rsidRPr="00617DF3">
        <w:rPr>
          <w:rFonts w:ascii="Times New Roman" w:hAnsi="Times New Roman" w:cs="Times New Roman"/>
          <w:i/>
          <w:iCs/>
          <w:sz w:val="24"/>
          <w:szCs w:val="24"/>
          <w:lang w:val="en-US"/>
        </w:rPr>
        <w:t>r</w:t>
      </w:r>
      <w:proofErr w:type="spellEnd"/>
      <w:r w:rsidR="004E02BD" w:rsidRPr="00617DF3">
        <w:rPr>
          <w:rFonts w:ascii="Times New Roman" w:hAnsi="Times New Roman" w:cs="Times New Roman"/>
          <w:sz w:val="24"/>
          <w:szCs w:val="24"/>
          <w:lang w:val="en-US"/>
        </w:rPr>
        <w:t>,</w:t>
      </w:r>
      <w:r w:rsidR="00375468" w:rsidRPr="00617DF3">
        <w:rPr>
          <w:rFonts w:ascii="Times New Roman" w:hAnsi="Times New Roman" w:cs="Times New Roman"/>
          <w:sz w:val="24"/>
          <w:szCs w:val="24"/>
          <w:lang w:val="en-US"/>
        </w:rPr>
        <w:t xml:space="preserve"> </w:t>
      </w:r>
      <w:r w:rsidR="00C175F0" w:rsidRPr="00617DF3">
        <w:rPr>
          <w:rFonts w:ascii="Times New Roman" w:hAnsi="Times New Roman" w:cs="Times New Roman"/>
          <w:sz w:val="24"/>
          <w:szCs w:val="24"/>
          <w:lang w:val="en-US"/>
        </w:rPr>
        <w:t>17(1), 239-252.</w:t>
      </w:r>
      <w:r w:rsidR="004E02BD" w:rsidRPr="00617DF3">
        <w:rPr>
          <w:rFonts w:ascii="Times New Roman" w:hAnsi="Times New Roman" w:cs="Times New Roman"/>
          <w:sz w:val="24"/>
          <w:szCs w:val="24"/>
          <w:lang w:val="en-US"/>
        </w:rPr>
        <w:t xml:space="preserve"> </w:t>
      </w:r>
      <w:hyperlink r:id="rId17" w:history="1">
        <w:r w:rsidR="00BF31AF" w:rsidRPr="00617DF3">
          <w:rPr>
            <w:rStyle w:val="Hipervnculo"/>
            <w:rFonts w:ascii="Times New Roman" w:hAnsi="Times New Roman" w:cs="Times New Roman"/>
            <w:color w:val="auto"/>
            <w:sz w:val="24"/>
            <w:szCs w:val="24"/>
            <w:lang w:val="en-US"/>
          </w:rPr>
          <w:t>https://doi.org/10.1002/cb.1710</w:t>
        </w:r>
      </w:hyperlink>
    </w:p>
    <w:p w14:paraId="7E819F9C" w14:textId="4012BC21" w:rsidR="004C3535" w:rsidRPr="00617DF3" w:rsidRDefault="004C3535" w:rsidP="00D754D5">
      <w:pPr>
        <w:spacing w:after="0" w:line="240" w:lineRule="auto"/>
        <w:ind w:left="567" w:hanging="567"/>
        <w:jc w:val="both"/>
        <w:rPr>
          <w:rFonts w:ascii="Times New Roman" w:hAnsi="Times New Roman" w:cs="Times New Roman"/>
          <w:i/>
          <w:iCs/>
          <w:sz w:val="24"/>
          <w:szCs w:val="24"/>
          <w:lang w:val="en-US"/>
        </w:rPr>
      </w:pPr>
      <w:r w:rsidRPr="00617DF3">
        <w:rPr>
          <w:rFonts w:ascii="Times New Roman" w:hAnsi="Times New Roman" w:cs="Times New Roman"/>
          <w:sz w:val="24"/>
          <w:szCs w:val="24"/>
          <w:lang w:val="en-US"/>
        </w:rPr>
        <w:t xml:space="preserve">International Organization for Standardization/International Electrotechnical Commission. (2022). </w:t>
      </w:r>
      <w:r w:rsidRPr="00617DF3">
        <w:rPr>
          <w:rFonts w:ascii="Times New Roman" w:hAnsi="Times New Roman" w:cs="Times New Roman"/>
          <w:i/>
          <w:iCs/>
          <w:sz w:val="24"/>
          <w:szCs w:val="24"/>
          <w:lang w:val="en-US"/>
        </w:rPr>
        <w:t xml:space="preserve">ISO/IEC 24745:2022—Information technology—Security techniques—Biometric information protection. </w:t>
      </w:r>
      <w:r w:rsidRPr="00617DF3">
        <w:rPr>
          <w:rFonts w:ascii="Times New Roman" w:hAnsi="Times New Roman" w:cs="Times New Roman"/>
          <w:sz w:val="24"/>
          <w:szCs w:val="24"/>
          <w:lang w:val="en-US"/>
        </w:rPr>
        <w:t>ISO/IEC</w:t>
      </w:r>
      <w:r w:rsidRPr="00617DF3">
        <w:rPr>
          <w:rFonts w:ascii="Times New Roman" w:hAnsi="Times New Roman" w:cs="Times New Roman"/>
          <w:i/>
          <w:iCs/>
          <w:sz w:val="24"/>
          <w:szCs w:val="24"/>
          <w:lang w:val="en-US"/>
        </w:rPr>
        <w:t>.</w:t>
      </w:r>
    </w:p>
    <w:p w14:paraId="6EDFC350" w14:textId="4DE3475E" w:rsidR="00AD3959" w:rsidRPr="00617DF3" w:rsidRDefault="00AD3959" w:rsidP="00D754D5">
      <w:pPr>
        <w:spacing w:after="0" w:line="240" w:lineRule="auto"/>
        <w:ind w:left="567" w:hanging="567"/>
        <w:jc w:val="both"/>
        <w:rPr>
          <w:rFonts w:ascii="Times New Roman" w:hAnsi="Times New Roman" w:cs="Times New Roman"/>
          <w:sz w:val="24"/>
          <w:szCs w:val="24"/>
          <w:lang w:val="en-US"/>
        </w:rPr>
      </w:pPr>
      <w:r w:rsidRPr="00617DF3">
        <w:rPr>
          <w:rFonts w:ascii="Times New Roman" w:hAnsi="Times New Roman" w:cs="Times New Roman"/>
          <w:sz w:val="24"/>
          <w:szCs w:val="24"/>
          <w:lang w:val="en-US"/>
        </w:rPr>
        <w:t xml:space="preserve">Khondakar, M.F.K., </w:t>
      </w:r>
      <w:proofErr w:type="spellStart"/>
      <w:r w:rsidRPr="00617DF3">
        <w:rPr>
          <w:rFonts w:ascii="Times New Roman" w:hAnsi="Times New Roman" w:cs="Times New Roman"/>
          <w:sz w:val="24"/>
          <w:szCs w:val="24"/>
          <w:lang w:val="en-US"/>
        </w:rPr>
        <w:t>Sarowar</w:t>
      </w:r>
      <w:proofErr w:type="spellEnd"/>
      <w:r w:rsidRPr="00617DF3">
        <w:rPr>
          <w:rFonts w:ascii="Times New Roman" w:hAnsi="Times New Roman" w:cs="Times New Roman"/>
          <w:sz w:val="24"/>
          <w:szCs w:val="24"/>
          <w:lang w:val="en-US"/>
        </w:rPr>
        <w:t>, M.H., Chowdhury, M.H. </w:t>
      </w:r>
      <w:r w:rsidRPr="00617DF3">
        <w:rPr>
          <w:rFonts w:ascii="Times New Roman" w:hAnsi="Times New Roman" w:cs="Times New Roman"/>
          <w:i/>
          <w:iCs/>
          <w:sz w:val="24"/>
          <w:szCs w:val="24"/>
          <w:lang w:val="en-US"/>
        </w:rPr>
        <w:t>et al.</w:t>
      </w:r>
      <w:r w:rsidRPr="00617DF3">
        <w:rPr>
          <w:rFonts w:ascii="Times New Roman" w:hAnsi="Times New Roman" w:cs="Times New Roman"/>
          <w:sz w:val="24"/>
          <w:szCs w:val="24"/>
          <w:lang w:val="en-US"/>
        </w:rPr>
        <w:t> A systematic review on EEG-based neuromarketing: recent trends and analyzing techniques. </w:t>
      </w:r>
      <w:r w:rsidRPr="00617DF3">
        <w:rPr>
          <w:rFonts w:ascii="Times New Roman" w:hAnsi="Times New Roman" w:cs="Times New Roman"/>
          <w:i/>
          <w:sz w:val="24"/>
          <w:szCs w:val="24"/>
          <w:lang w:val="en-US"/>
        </w:rPr>
        <w:t xml:space="preserve">Brain </w:t>
      </w:r>
      <w:r w:rsidRPr="00617DF3">
        <w:rPr>
          <w:rFonts w:ascii="Times New Roman" w:hAnsi="Times New Roman" w:cs="Times New Roman"/>
          <w:i/>
          <w:iCs/>
          <w:sz w:val="24"/>
          <w:szCs w:val="24"/>
          <w:lang w:val="en-US"/>
        </w:rPr>
        <w:t>Inf.</w:t>
      </w:r>
      <w:r w:rsidRPr="00617DF3">
        <w:rPr>
          <w:rFonts w:ascii="Times New Roman" w:hAnsi="Times New Roman" w:cs="Times New Roman"/>
          <w:sz w:val="24"/>
          <w:szCs w:val="24"/>
          <w:lang w:val="en-US"/>
        </w:rPr>
        <w:t> </w:t>
      </w:r>
      <w:r w:rsidRPr="0061135D">
        <w:rPr>
          <w:rFonts w:ascii="Times New Roman" w:hAnsi="Times New Roman" w:cs="Times New Roman"/>
          <w:sz w:val="24"/>
          <w:szCs w:val="24"/>
          <w:lang w:val="en-US"/>
        </w:rPr>
        <w:t>11</w:t>
      </w:r>
      <w:r w:rsidRPr="00617DF3">
        <w:rPr>
          <w:rFonts w:ascii="Times New Roman" w:hAnsi="Times New Roman" w:cs="Times New Roman"/>
          <w:sz w:val="24"/>
          <w:szCs w:val="24"/>
          <w:lang w:val="en-US"/>
        </w:rPr>
        <w:t xml:space="preserve">, 17 (2024). </w:t>
      </w:r>
      <w:hyperlink r:id="rId18" w:history="1">
        <w:r w:rsidRPr="00617DF3">
          <w:rPr>
            <w:rStyle w:val="Hipervnculo"/>
            <w:rFonts w:ascii="Times New Roman" w:hAnsi="Times New Roman" w:cs="Times New Roman"/>
            <w:color w:val="auto"/>
            <w:sz w:val="24"/>
            <w:szCs w:val="24"/>
            <w:lang w:val="en-US"/>
          </w:rPr>
          <w:t>https://doi.org/10.1186/s40708-024-00229-8</w:t>
        </w:r>
      </w:hyperlink>
    </w:p>
    <w:p w14:paraId="1BA37131" w14:textId="31042E9B" w:rsidR="00711A43" w:rsidRPr="00617DF3" w:rsidRDefault="00711A43" w:rsidP="00D754D5">
      <w:pPr>
        <w:spacing w:after="0" w:line="240" w:lineRule="auto"/>
        <w:ind w:left="567" w:hanging="567"/>
        <w:jc w:val="both"/>
        <w:rPr>
          <w:rFonts w:ascii="Times New Roman" w:hAnsi="Times New Roman" w:cs="Times New Roman"/>
          <w:sz w:val="24"/>
          <w:szCs w:val="24"/>
          <w:lang w:val="en-US"/>
        </w:rPr>
      </w:pPr>
      <w:r w:rsidRPr="00617DF3">
        <w:rPr>
          <w:rFonts w:ascii="Times New Roman" w:hAnsi="Times New Roman" w:cs="Times New Roman"/>
          <w:sz w:val="24"/>
          <w:szCs w:val="24"/>
          <w:lang w:val="en-US"/>
        </w:rPr>
        <w:t xml:space="preserve">Kolb, A. Y., </w:t>
      </w:r>
      <w:r w:rsidR="003C3BA6" w:rsidRPr="00617DF3">
        <w:rPr>
          <w:rFonts w:ascii="Times New Roman" w:hAnsi="Times New Roman" w:cs="Times New Roman"/>
          <w:sz w:val="24"/>
          <w:szCs w:val="24"/>
          <w:lang w:val="en-US"/>
        </w:rPr>
        <w:t>y</w:t>
      </w:r>
      <w:r w:rsidRPr="00617DF3">
        <w:rPr>
          <w:rFonts w:ascii="Times New Roman" w:hAnsi="Times New Roman" w:cs="Times New Roman"/>
          <w:sz w:val="24"/>
          <w:szCs w:val="24"/>
          <w:lang w:val="en-US"/>
        </w:rPr>
        <w:t xml:space="preserve"> Kolb, D. A. (2005). Learning styles and learning spaces: Enhancing experiential learning in higher education. </w:t>
      </w:r>
      <w:r w:rsidRPr="00617DF3">
        <w:rPr>
          <w:rFonts w:ascii="Times New Roman" w:hAnsi="Times New Roman" w:cs="Times New Roman"/>
          <w:i/>
          <w:iCs/>
          <w:sz w:val="24"/>
          <w:szCs w:val="24"/>
          <w:lang w:val="en-US"/>
        </w:rPr>
        <w:t xml:space="preserve">Academy of Management Learning </w:t>
      </w:r>
      <w:r w:rsidR="003C3BA6" w:rsidRPr="00617DF3">
        <w:rPr>
          <w:rFonts w:ascii="Times New Roman" w:hAnsi="Times New Roman" w:cs="Times New Roman"/>
          <w:i/>
          <w:iCs/>
          <w:sz w:val="24"/>
          <w:szCs w:val="24"/>
          <w:lang w:val="en-US"/>
        </w:rPr>
        <w:t>y</w:t>
      </w:r>
      <w:r w:rsidRPr="00617DF3">
        <w:rPr>
          <w:rFonts w:ascii="Times New Roman" w:hAnsi="Times New Roman" w:cs="Times New Roman"/>
          <w:i/>
          <w:iCs/>
          <w:sz w:val="24"/>
          <w:szCs w:val="24"/>
          <w:lang w:val="en-US"/>
        </w:rPr>
        <w:t xml:space="preserve"> Education, 4</w:t>
      </w:r>
      <w:r w:rsidRPr="00617DF3">
        <w:rPr>
          <w:rFonts w:ascii="Times New Roman" w:hAnsi="Times New Roman" w:cs="Times New Roman"/>
          <w:sz w:val="24"/>
          <w:szCs w:val="24"/>
          <w:lang w:val="en-US"/>
        </w:rPr>
        <w:t>(2), 193</w:t>
      </w:r>
      <w:r w:rsidR="0044664D" w:rsidRPr="00617DF3">
        <w:rPr>
          <w:rFonts w:ascii="Times New Roman" w:hAnsi="Times New Roman" w:cs="Times New Roman"/>
          <w:sz w:val="24"/>
          <w:szCs w:val="24"/>
          <w:lang w:val="en-US"/>
        </w:rPr>
        <w:t>-</w:t>
      </w:r>
      <w:r w:rsidRPr="00617DF3">
        <w:rPr>
          <w:rFonts w:ascii="Times New Roman" w:hAnsi="Times New Roman" w:cs="Times New Roman"/>
          <w:sz w:val="24"/>
          <w:szCs w:val="24"/>
          <w:lang w:val="en-US"/>
        </w:rPr>
        <w:t xml:space="preserve">212. </w:t>
      </w:r>
      <w:hyperlink r:id="rId19" w:history="1">
        <w:r w:rsidR="00BF31AF" w:rsidRPr="00617DF3">
          <w:rPr>
            <w:rStyle w:val="Hipervnculo"/>
            <w:rFonts w:ascii="Times New Roman" w:hAnsi="Times New Roman" w:cs="Times New Roman"/>
            <w:color w:val="auto"/>
            <w:sz w:val="24"/>
            <w:szCs w:val="24"/>
            <w:lang w:val="en-US"/>
          </w:rPr>
          <w:t>https://doi.org/10.5465/amle.2005.17268566</w:t>
        </w:r>
      </w:hyperlink>
    </w:p>
    <w:p w14:paraId="7B9E003D" w14:textId="6832F3F3" w:rsidR="0017168E" w:rsidRPr="00617DF3" w:rsidRDefault="0017168E" w:rsidP="00D754D5">
      <w:pPr>
        <w:spacing w:after="0" w:line="240" w:lineRule="auto"/>
        <w:ind w:left="567" w:hanging="567"/>
        <w:jc w:val="both"/>
        <w:rPr>
          <w:rFonts w:ascii="Times New Roman" w:hAnsi="Times New Roman" w:cs="Times New Roman"/>
          <w:sz w:val="24"/>
          <w:szCs w:val="24"/>
          <w:lang w:val="en-US"/>
        </w:rPr>
      </w:pPr>
      <w:proofErr w:type="spellStart"/>
      <w:r w:rsidRPr="00617DF3">
        <w:rPr>
          <w:rFonts w:ascii="Times New Roman" w:hAnsi="Times New Roman" w:cs="Times New Roman"/>
          <w:sz w:val="24"/>
          <w:szCs w:val="24"/>
          <w:lang w:val="en-US"/>
        </w:rPr>
        <w:t>Laverie</w:t>
      </w:r>
      <w:proofErr w:type="spellEnd"/>
      <w:r w:rsidRPr="00617DF3">
        <w:rPr>
          <w:rFonts w:ascii="Times New Roman" w:hAnsi="Times New Roman" w:cs="Times New Roman"/>
          <w:sz w:val="24"/>
          <w:szCs w:val="24"/>
          <w:lang w:val="en-US"/>
        </w:rPr>
        <w:t>, D. A., Hass, A., &amp; Mitchell, C. (2020). Experiential Learning: A Study of Simulations as a Pedagogical Tool. </w:t>
      </w:r>
      <w:r w:rsidRPr="00617DF3">
        <w:rPr>
          <w:rFonts w:ascii="Times New Roman" w:hAnsi="Times New Roman" w:cs="Times New Roman"/>
          <w:i/>
          <w:sz w:val="24"/>
          <w:szCs w:val="24"/>
          <w:lang w:val="en-US"/>
        </w:rPr>
        <w:t>Marketing Education Review</w:t>
      </w:r>
      <w:r w:rsidRPr="0061135D">
        <w:rPr>
          <w:rFonts w:ascii="Times New Roman" w:hAnsi="Times New Roman" w:cs="Times New Roman"/>
          <w:sz w:val="24"/>
          <w:szCs w:val="24"/>
          <w:lang w:val="en-US"/>
        </w:rPr>
        <w:t>,</w:t>
      </w:r>
      <w:r w:rsidRPr="00617DF3">
        <w:rPr>
          <w:rFonts w:ascii="Times New Roman" w:hAnsi="Times New Roman" w:cs="Times New Roman"/>
          <w:sz w:val="24"/>
          <w:szCs w:val="24"/>
          <w:lang w:val="en-US"/>
        </w:rPr>
        <w:t> </w:t>
      </w:r>
      <w:r w:rsidRPr="00617DF3">
        <w:rPr>
          <w:rFonts w:ascii="Times New Roman" w:hAnsi="Times New Roman" w:cs="Times New Roman"/>
          <w:i/>
          <w:sz w:val="24"/>
          <w:szCs w:val="24"/>
          <w:lang w:val="en-US"/>
        </w:rPr>
        <w:t>32</w:t>
      </w:r>
      <w:r w:rsidRPr="00617DF3">
        <w:rPr>
          <w:rFonts w:ascii="Times New Roman" w:hAnsi="Times New Roman" w:cs="Times New Roman"/>
          <w:sz w:val="24"/>
          <w:szCs w:val="24"/>
          <w:lang w:val="en-US"/>
        </w:rPr>
        <w:t xml:space="preserve">(1), 3–17. </w:t>
      </w:r>
      <w:hyperlink r:id="rId20" w:history="1">
        <w:r w:rsidRPr="00617DF3">
          <w:rPr>
            <w:rStyle w:val="Hipervnculo"/>
            <w:rFonts w:ascii="Times New Roman" w:hAnsi="Times New Roman" w:cs="Times New Roman"/>
            <w:color w:val="auto"/>
            <w:sz w:val="24"/>
            <w:szCs w:val="24"/>
            <w:lang w:val="en-US"/>
          </w:rPr>
          <w:t>https://doi.org/10.1080/10528008.2020.1843360</w:t>
        </w:r>
      </w:hyperlink>
    </w:p>
    <w:p w14:paraId="02F4C663" w14:textId="05C5A951" w:rsidR="00711A43" w:rsidRPr="00617DF3" w:rsidRDefault="00711A43" w:rsidP="00D754D5">
      <w:pPr>
        <w:spacing w:after="0" w:line="240" w:lineRule="auto"/>
        <w:ind w:left="567" w:hanging="567"/>
        <w:jc w:val="both"/>
        <w:rPr>
          <w:rFonts w:ascii="Times New Roman" w:hAnsi="Times New Roman" w:cs="Times New Roman"/>
          <w:sz w:val="24"/>
          <w:szCs w:val="24"/>
          <w:lang w:val="en-US"/>
        </w:rPr>
      </w:pPr>
      <w:r w:rsidRPr="00617DF3">
        <w:rPr>
          <w:rFonts w:ascii="Times New Roman" w:hAnsi="Times New Roman" w:cs="Times New Roman"/>
          <w:sz w:val="24"/>
          <w:szCs w:val="24"/>
          <w:lang w:val="en-US"/>
        </w:rPr>
        <w:t xml:space="preserve">Lee, S.-E. (2021). Teaching neuromarketing to fashion students: An application of Kirkpatrick’s model. </w:t>
      </w:r>
      <w:r w:rsidRPr="00617DF3">
        <w:rPr>
          <w:rFonts w:ascii="Times New Roman" w:hAnsi="Times New Roman" w:cs="Times New Roman"/>
          <w:i/>
          <w:iCs/>
          <w:sz w:val="24"/>
          <w:szCs w:val="24"/>
          <w:lang w:val="en-US"/>
        </w:rPr>
        <w:t>International Journal of Fashion Design, Technology and Education, 14</w:t>
      </w:r>
      <w:r w:rsidRPr="00617DF3">
        <w:rPr>
          <w:rFonts w:ascii="Times New Roman" w:hAnsi="Times New Roman" w:cs="Times New Roman"/>
          <w:sz w:val="24"/>
          <w:szCs w:val="24"/>
          <w:lang w:val="en-US"/>
        </w:rPr>
        <w:t>(2), 185</w:t>
      </w:r>
      <w:r w:rsidR="0044664D" w:rsidRPr="00617DF3">
        <w:rPr>
          <w:rFonts w:ascii="Times New Roman" w:hAnsi="Times New Roman" w:cs="Times New Roman"/>
          <w:sz w:val="24"/>
          <w:szCs w:val="24"/>
          <w:lang w:val="en-US"/>
        </w:rPr>
        <w:t>-</w:t>
      </w:r>
      <w:r w:rsidRPr="00617DF3">
        <w:rPr>
          <w:rFonts w:ascii="Times New Roman" w:hAnsi="Times New Roman" w:cs="Times New Roman"/>
          <w:sz w:val="24"/>
          <w:szCs w:val="24"/>
          <w:lang w:val="en-US"/>
        </w:rPr>
        <w:t xml:space="preserve">193. </w:t>
      </w:r>
      <w:hyperlink r:id="rId21" w:history="1">
        <w:r w:rsidR="00BF31AF" w:rsidRPr="00617DF3">
          <w:rPr>
            <w:rStyle w:val="Hipervnculo"/>
            <w:rFonts w:ascii="Times New Roman" w:hAnsi="Times New Roman" w:cs="Times New Roman"/>
            <w:color w:val="auto"/>
            <w:sz w:val="24"/>
            <w:szCs w:val="24"/>
            <w:lang w:val="en-US"/>
          </w:rPr>
          <w:t>https://doi.org/10.1080/17543266.2020.1784254</w:t>
        </w:r>
      </w:hyperlink>
    </w:p>
    <w:p w14:paraId="036B6AA2" w14:textId="0AFD3B75" w:rsidR="00711A43" w:rsidRPr="00617DF3" w:rsidRDefault="00711A43" w:rsidP="00D754D5">
      <w:pPr>
        <w:spacing w:after="0" w:line="240" w:lineRule="auto"/>
        <w:ind w:left="567" w:hanging="567"/>
        <w:jc w:val="both"/>
        <w:rPr>
          <w:rFonts w:ascii="Times New Roman" w:hAnsi="Times New Roman" w:cs="Times New Roman"/>
          <w:sz w:val="24"/>
          <w:szCs w:val="24"/>
          <w:lang w:val="en-US"/>
        </w:rPr>
      </w:pPr>
      <w:r w:rsidRPr="00617DF3">
        <w:rPr>
          <w:rFonts w:ascii="Times New Roman" w:hAnsi="Times New Roman" w:cs="Times New Roman"/>
          <w:sz w:val="24"/>
          <w:szCs w:val="24"/>
          <w:lang w:val="en-US"/>
        </w:rPr>
        <w:t xml:space="preserve">Lim, W. M. (2018). Demystifying neuromarketing. </w:t>
      </w:r>
      <w:r w:rsidRPr="00617DF3">
        <w:rPr>
          <w:rFonts w:ascii="Times New Roman" w:hAnsi="Times New Roman" w:cs="Times New Roman"/>
          <w:i/>
          <w:iCs/>
          <w:sz w:val="24"/>
          <w:szCs w:val="24"/>
          <w:lang w:val="en-US"/>
        </w:rPr>
        <w:t>Journal of Business Research, 91,</w:t>
      </w:r>
      <w:r w:rsidRPr="00617DF3">
        <w:rPr>
          <w:rFonts w:ascii="Times New Roman" w:hAnsi="Times New Roman" w:cs="Times New Roman"/>
          <w:sz w:val="24"/>
          <w:szCs w:val="24"/>
          <w:lang w:val="en-US"/>
        </w:rPr>
        <w:t xml:space="preserve"> 205</w:t>
      </w:r>
      <w:r w:rsidR="0044664D" w:rsidRPr="00617DF3">
        <w:rPr>
          <w:rFonts w:ascii="Times New Roman" w:hAnsi="Times New Roman" w:cs="Times New Roman"/>
          <w:sz w:val="24"/>
          <w:szCs w:val="24"/>
          <w:lang w:val="en-US"/>
        </w:rPr>
        <w:t>-</w:t>
      </w:r>
      <w:r w:rsidRPr="00617DF3">
        <w:rPr>
          <w:rFonts w:ascii="Times New Roman" w:hAnsi="Times New Roman" w:cs="Times New Roman"/>
          <w:sz w:val="24"/>
          <w:szCs w:val="24"/>
          <w:lang w:val="en-US"/>
        </w:rPr>
        <w:t xml:space="preserve">220. </w:t>
      </w:r>
      <w:hyperlink r:id="rId22" w:history="1">
        <w:r w:rsidR="00BF31AF" w:rsidRPr="00617DF3">
          <w:rPr>
            <w:rStyle w:val="Hipervnculo"/>
            <w:rFonts w:ascii="Times New Roman" w:hAnsi="Times New Roman" w:cs="Times New Roman"/>
            <w:color w:val="auto"/>
            <w:sz w:val="24"/>
            <w:szCs w:val="24"/>
            <w:lang w:val="en-US"/>
          </w:rPr>
          <w:t>https://doi.org/10.1016/j.jbusres.2018.05.036</w:t>
        </w:r>
      </w:hyperlink>
    </w:p>
    <w:p w14:paraId="36FAEB21" w14:textId="2FDE9F5E" w:rsidR="00F3038A" w:rsidRPr="00617DF3" w:rsidRDefault="00F3038A" w:rsidP="00D754D5">
      <w:pPr>
        <w:spacing w:after="0" w:line="240" w:lineRule="auto"/>
        <w:ind w:left="567" w:hanging="567"/>
        <w:jc w:val="both"/>
        <w:rPr>
          <w:rFonts w:ascii="Times New Roman" w:hAnsi="Times New Roman" w:cs="Times New Roman"/>
          <w:sz w:val="24"/>
          <w:szCs w:val="24"/>
        </w:rPr>
      </w:pPr>
      <w:r w:rsidRPr="00617DF3">
        <w:rPr>
          <w:rFonts w:ascii="Times New Roman" w:hAnsi="Times New Roman" w:cs="Times New Roman"/>
          <w:sz w:val="24"/>
          <w:szCs w:val="24"/>
        </w:rPr>
        <w:lastRenderedPageBreak/>
        <w:t xml:space="preserve">Martínez-Castrejón, M. (2025). </w:t>
      </w:r>
      <w:proofErr w:type="spellStart"/>
      <w:r w:rsidRPr="00617DF3">
        <w:rPr>
          <w:rFonts w:ascii="Times New Roman" w:hAnsi="Times New Roman" w:cs="Times New Roman"/>
          <w:sz w:val="24"/>
          <w:szCs w:val="24"/>
        </w:rPr>
        <w:t>Neuromitos</w:t>
      </w:r>
      <w:proofErr w:type="spellEnd"/>
      <w:r w:rsidRPr="00617DF3">
        <w:rPr>
          <w:rFonts w:ascii="Times New Roman" w:hAnsi="Times New Roman" w:cs="Times New Roman"/>
          <w:sz w:val="24"/>
          <w:szCs w:val="24"/>
        </w:rPr>
        <w:t xml:space="preserve">: desconexión entre la neurociencia y la educación. </w:t>
      </w:r>
      <w:r w:rsidRPr="00617DF3">
        <w:rPr>
          <w:rFonts w:ascii="Times New Roman" w:hAnsi="Times New Roman" w:cs="Times New Roman"/>
          <w:i/>
          <w:iCs/>
          <w:sz w:val="24"/>
          <w:szCs w:val="24"/>
        </w:rPr>
        <w:t>Revista Iberoamericana para la Investigación y el Desarrollo Educativo</w:t>
      </w:r>
      <w:r w:rsidR="002F6EF5" w:rsidRPr="00617DF3">
        <w:rPr>
          <w:rFonts w:ascii="Times New Roman" w:hAnsi="Times New Roman" w:cs="Times New Roman"/>
          <w:i/>
          <w:iCs/>
          <w:sz w:val="24"/>
          <w:szCs w:val="24"/>
        </w:rPr>
        <w:t xml:space="preserve">, </w:t>
      </w:r>
      <w:r w:rsidR="002F6EF5" w:rsidRPr="00617DF3">
        <w:rPr>
          <w:rFonts w:ascii="Times New Roman" w:hAnsi="Times New Roman" w:cs="Times New Roman"/>
          <w:sz w:val="24"/>
          <w:szCs w:val="24"/>
        </w:rPr>
        <w:t>15(</w:t>
      </w:r>
      <w:r w:rsidRPr="00617DF3">
        <w:rPr>
          <w:rFonts w:ascii="Times New Roman" w:hAnsi="Times New Roman" w:cs="Times New Roman"/>
          <w:sz w:val="24"/>
          <w:szCs w:val="24"/>
        </w:rPr>
        <w:t xml:space="preserve">30). </w:t>
      </w:r>
      <w:hyperlink r:id="rId23" w:history="1">
        <w:r w:rsidR="00BF31AF" w:rsidRPr="00617DF3">
          <w:rPr>
            <w:rStyle w:val="Hipervnculo"/>
            <w:rFonts w:ascii="Times New Roman" w:hAnsi="Times New Roman" w:cs="Times New Roman"/>
            <w:color w:val="auto"/>
            <w:sz w:val="24"/>
            <w:szCs w:val="24"/>
          </w:rPr>
          <w:t>https://doi.org/10.23913/ride.v15i30.2318</w:t>
        </w:r>
      </w:hyperlink>
    </w:p>
    <w:p w14:paraId="05AA1D4A" w14:textId="0386FDE6" w:rsidR="00711A43" w:rsidRPr="00617DF3" w:rsidRDefault="00711A43" w:rsidP="00D754D5">
      <w:pPr>
        <w:spacing w:after="0" w:line="240" w:lineRule="auto"/>
        <w:ind w:left="567" w:hanging="567"/>
        <w:jc w:val="both"/>
        <w:rPr>
          <w:rFonts w:ascii="Times New Roman" w:hAnsi="Times New Roman" w:cs="Times New Roman"/>
          <w:sz w:val="24"/>
          <w:szCs w:val="24"/>
          <w:lang w:val="en-US"/>
        </w:rPr>
      </w:pPr>
      <w:proofErr w:type="spellStart"/>
      <w:r w:rsidRPr="0061135D">
        <w:rPr>
          <w:rFonts w:ascii="Times New Roman" w:hAnsi="Times New Roman" w:cs="Times New Roman"/>
          <w:sz w:val="24"/>
          <w:szCs w:val="24"/>
        </w:rPr>
        <w:t>McInnes</w:t>
      </w:r>
      <w:proofErr w:type="spellEnd"/>
      <w:r w:rsidRPr="0061135D">
        <w:rPr>
          <w:rFonts w:ascii="Times New Roman" w:hAnsi="Times New Roman" w:cs="Times New Roman"/>
          <w:sz w:val="24"/>
          <w:szCs w:val="24"/>
        </w:rPr>
        <w:t xml:space="preserve">, A. N., </w:t>
      </w:r>
      <w:proofErr w:type="spellStart"/>
      <w:r w:rsidRPr="0061135D">
        <w:rPr>
          <w:rFonts w:ascii="Times New Roman" w:hAnsi="Times New Roman" w:cs="Times New Roman"/>
          <w:sz w:val="24"/>
          <w:szCs w:val="24"/>
        </w:rPr>
        <w:t>Ammari</w:t>
      </w:r>
      <w:proofErr w:type="spellEnd"/>
      <w:r w:rsidRPr="0061135D">
        <w:rPr>
          <w:rFonts w:ascii="Times New Roman" w:hAnsi="Times New Roman" w:cs="Times New Roman"/>
          <w:sz w:val="24"/>
          <w:szCs w:val="24"/>
        </w:rPr>
        <w:t xml:space="preserve">, T., de </w:t>
      </w:r>
      <w:proofErr w:type="spellStart"/>
      <w:r w:rsidRPr="0061135D">
        <w:rPr>
          <w:rFonts w:ascii="Times New Roman" w:hAnsi="Times New Roman" w:cs="Times New Roman"/>
          <w:sz w:val="24"/>
          <w:szCs w:val="24"/>
        </w:rPr>
        <w:t>Kamps</w:t>
      </w:r>
      <w:proofErr w:type="spellEnd"/>
      <w:r w:rsidRPr="0061135D">
        <w:rPr>
          <w:rFonts w:ascii="Times New Roman" w:hAnsi="Times New Roman" w:cs="Times New Roman"/>
          <w:sz w:val="24"/>
          <w:szCs w:val="24"/>
        </w:rPr>
        <w:t xml:space="preserve">, M., </w:t>
      </w:r>
      <w:r w:rsidR="003C3BA6" w:rsidRPr="00617DF3">
        <w:rPr>
          <w:rFonts w:ascii="Times New Roman" w:hAnsi="Times New Roman" w:cs="Times New Roman"/>
          <w:sz w:val="24"/>
          <w:szCs w:val="24"/>
        </w:rPr>
        <w:t>y</w:t>
      </w:r>
      <w:r w:rsidRPr="0061135D">
        <w:rPr>
          <w:rFonts w:ascii="Times New Roman" w:hAnsi="Times New Roman" w:cs="Times New Roman"/>
          <w:sz w:val="24"/>
          <w:szCs w:val="24"/>
        </w:rPr>
        <w:t xml:space="preserve"> Basso, F. (2023). </w:t>
      </w:r>
      <w:r w:rsidRPr="00617DF3">
        <w:rPr>
          <w:rFonts w:ascii="Times New Roman" w:hAnsi="Times New Roman" w:cs="Times New Roman"/>
          <w:sz w:val="24"/>
          <w:szCs w:val="24"/>
          <w:lang w:val="en-US"/>
        </w:rPr>
        <w:t xml:space="preserve">A practical review of electroencephalography’s value to consumer and marketing research. </w:t>
      </w:r>
      <w:r w:rsidRPr="00617DF3">
        <w:rPr>
          <w:rFonts w:ascii="Times New Roman" w:hAnsi="Times New Roman" w:cs="Times New Roman"/>
          <w:i/>
          <w:iCs/>
          <w:sz w:val="24"/>
          <w:szCs w:val="24"/>
          <w:lang w:val="en-US"/>
        </w:rPr>
        <w:t>International Journal of Market Research, 65</w:t>
      </w:r>
      <w:r w:rsidRPr="00617DF3">
        <w:rPr>
          <w:rFonts w:ascii="Times New Roman" w:hAnsi="Times New Roman" w:cs="Times New Roman"/>
          <w:sz w:val="24"/>
          <w:szCs w:val="24"/>
          <w:lang w:val="en-US"/>
        </w:rPr>
        <w:t>(3), 377</w:t>
      </w:r>
      <w:r w:rsidR="0044664D" w:rsidRPr="00617DF3">
        <w:rPr>
          <w:rFonts w:ascii="Times New Roman" w:hAnsi="Times New Roman" w:cs="Times New Roman"/>
          <w:sz w:val="24"/>
          <w:szCs w:val="24"/>
          <w:lang w:val="en-US"/>
        </w:rPr>
        <w:t>-</w:t>
      </w:r>
      <w:r w:rsidRPr="00617DF3">
        <w:rPr>
          <w:rFonts w:ascii="Times New Roman" w:hAnsi="Times New Roman" w:cs="Times New Roman"/>
          <w:sz w:val="24"/>
          <w:szCs w:val="24"/>
          <w:lang w:val="en-US"/>
        </w:rPr>
        <w:t xml:space="preserve">402. </w:t>
      </w:r>
      <w:hyperlink r:id="rId24" w:history="1">
        <w:r w:rsidR="00BF31AF" w:rsidRPr="00617DF3">
          <w:rPr>
            <w:rStyle w:val="Hipervnculo"/>
            <w:rFonts w:ascii="Times New Roman" w:hAnsi="Times New Roman" w:cs="Times New Roman"/>
            <w:color w:val="auto"/>
            <w:sz w:val="24"/>
            <w:szCs w:val="24"/>
            <w:lang w:val="en-US"/>
          </w:rPr>
          <w:t>https://doi.org/10.1177/14707853221112622</w:t>
        </w:r>
      </w:hyperlink>
    </w:p>
    <w:p w14:paraId="6A32626B" w14:textId="2D667C6C" w:rsidR="00711A43" w:rsidRPr="0061135D" w:rsidRDefault="00711A43" w:rsidP="00D754D5">
      <w:pPr>
        <w:spacing w:after="0" w:line="240" w:lineRule="auto"/>
        <w:ind w:left="567" w:hanging="567"/>
        <w:jc w:val="both"/>
        <w:rPr>
          <w:rFonts w:ascii="Times New Roman" w:hAnsi="Times New Roman" w:cs="Times New Roman"/>
          <w:sz w:val="24"/>
          <w:szCs w:val="24"/>
        </w:rPr>
      </w:pPr>
      <w:r w:rsidRPr="00617DF3">
        <w:rPr>
          <w:rFonts w:ascii="Times New Roman" w:hAnsi="Times New Roman" w:cs="Times New Roman"/>
          <w:sz w:val="24"/>
          <w:szCs w:val="24"/>
          <w:lang w:val="en-US"/>
        </w:rPr>
        <w:t xml:space="preserve">Ramachandra, C. K., Rangan, A., </w:t>
      </w:r>
      <w:proofErr w:type="spellStart"/>
      <w:r w:rsidRPr="00617DF3">
        <w:rPr>
          <w:rFonts w:ascii="Times New Roman" w:hAnsi="Times New Roman" w:cs="Times New Roman"/>
          <w:sz w:val="24"/>
          <w:szCs w:val="24"/>
          <w:lang w:val="en-US"/>
        </w:rPr>
        <w:t>Nagori</w:t>
      </w:r>
      <w:proofErr w:type="spellEnd"/>
      <w:r w:rsidRPr="00617DF3">
        <w:rPr>
          <w:rFonts w:ascii="Times New Roman" w:hAnsi="Times New Roman" w:cs="Times New Roman"/>
          <w:sz w:val="24"/>
          <w:szCs w:val="24"/>
          <w:lang w:val="en-US"/>
        </w:rPr>
        <w:t xml:space="preserve">, A., Bellary, S., </w:t>
      </w:r>
      <w:r w:rsidR="003C3BA6" w:rsidRPr="00617DF3">
        <w:rPr>
          <w:rFonts w:ascii="Times New Roman" w:hAnsi="Times New Roman" w:cs="Times New Roman"/>
          <w:sz w:val="24"/>
          <w:szCs w:val="24"/>
          <w:lang w:val="en-US"/>
        </w:rPr>
        <w:t>y</w:t>
      </w:r>
      <w:r w:rsidRPr="00617DF3">
        <w:rPr>
          <w:rFonts w:ascii="Times New Roman" w:hAnsi="Times New Roman" w:cs="Times New Roman"/>
          <w:sz w:val="24"/>
          <w:szCs w:val="24"/>
          <w:lang w:val="en-US"/>
        </w:rPr>
        <w:t xml:space="preserve"> Kumar, K. S. (2021). </w:t>
      </w:r>
      <w:proofErr w:type="spellStart"/>
      <w:r w:rsidRPr="00617DF3">
        <w:rPr>
          <w:rFonts w:ascii="Times New Roman" w:hAnsi="Times New Roman" w:cs="Times New Roman"/>
          <w:sz w:val="24"/>
          <w:szCs w:val="24"/>
          <w:lang w:val="en-US"/>
        </w:rPr>
        <w:t>IEyeGASE</w:t>
      </w:r>
      <w:proofErr w:type="spellEnd"/>
      <w:r w:rsidRPr="00617DF3">
        <w:rPr>
          <w:rFonts w:ascii="Times New Roman" w:hAnsi="Times New Roman" w:cs="Times New Roman"/>
          <w:sz w:val="24"/>
          <w:szCs w:val="24"/>
          <w:lang w:val="en-US"/>
        </w:rPr>
        <w:t xml:space="preserve">: An intelligent eye-gaze-based assessment system for e-learning using Blooms taxonomy. </w:t>
      </w:r>
      <w:r w:rsidRPr="00617DF3">
        <w:rPr>
          <w:rFonts w:ascii="Times New Roman" w:hAnsi="Times New Roman" w:cs="Times New Roman"/>
          <w:i/>
          <w:iCs/>
          <w:sz w:val="24"/>
          <w:szCs w:val="24"/>
          <w:lang w:val="en-US"/>
        </w:rPr>
        <w:t>Sensors, 21</w:t>
      </w:r>
      <w:r w:rsidRPr="00617DF3">
        <w:rPr>
          <w:rFonts w:ascii="Times New Roman" w:hAnsi="Times New Roman" w:cs="Times New Roman"/>
          <w:sz w:val="24"/>
          <w:szCs w:val="24"/>
          <w:lang w:val="en-US"/>
        </w:rPr>
        <w:t xml:space="preserve">(20), 6904. </w:t>
      </w:r>
      <w:hyperlink r:id="rId25" w:history="1">
        <w:r w:rsidR="00BF31AF" w:rsidRPr="00617DF3">
          <w:rPr>
            <w:rStyle w:val="Hipervnculo"/>
            <w:rFonts w:ascii="Times New Roman" w:hAnsi="Times New Roman" w:cs="Times New Roman"/>
            <w:color w:val="auto"/>
            <w:sz w:val="24"/>
            <w:szCs w:val="24"/>
          </w:rPr>
          <w:t>https://doi.org/10.3390/s21206904</w:t>
        </w:r>
      </w:hyperlink>
    </w:p>
    <w:p w14:paraId="42683E5F" w14:textId="428B5B29" w:rsidR="008A5376" w:rsidRPr="0061135D" w:rsidRDefault="00711A43" w:rsidP="0061135D">
      <w:pPr>
        <w:spacing w:after="0" w:line="240" w:lineRule="auto"/>
        <w:ind w:left="567" w:hanging="567"/>
        <w:jc w:val="both"/>
        <w:rPr>
          <w:rFonts w:ascii="Times New Roman" w:hAnsi="Times New Roman" w:cs="Times New Roman"/>
          <w:sz w:val="24"/>
          <w:szCs w:val="24"/>
        </w:rPr>
      </w:pPr>
      <w:r w:rsidRPr="00617DF3">
        <w:rPr>
          <w:rFonts w:ascii="Times New Roman" w:hAnsi="Times New Roman" w:cs="Times New Roman"/>
          <w:sz w:val="24"/>
          <w:szCs w:val="24"/>
          <w:lang w:val="en-US"/>
        </w:rPr>
        <w:t xml:space="preserve">Wang, J., Antonenko, P., Keil, A., </w:t>
      </w:r>
      <w:r w:rsidR="003C3BA6" w:rsidRPr="00617DF3">
        <w:rPr>
          <w:rFonts w:ascii="Times New Roman" w:hAnsi="Times New Roman" w:cs="Times New Roman"/>
          <w:sz w:val="24"/>
          <w:szCs w:val="24"/>
          <w:lang w:val="en-US"/>
        </w:rPr>
        <w:t>y</w:t>
      </w:r>
      <w:r w:rsidRPr="00617DF3">
        <w:rPr>
          <w:rFonts w:ascii="Times New Roman" w:hAnsi="Times New Roman" w:cs="Times New Roman"/>
          <w:sz w:val="24"/>
          <w:szCs w:val="24"/>
          <w:lang w:val="en-US"/>
        </w:rPr>
        <w:t xml:space="preserve"> Dawson, K. (2020). Converging subjective and psychophysiological measures of cognitive load to study the effects of instructor-present video. </w:t>
      </w:r>
      <w:proofErr w:type="spellStart"/>
      <w:r w:rsidRPr="00617DF3">
        <w:rPr>
          <w:rFonts w:ascii="Times New Roman" w:hAnsi="Times New Roman" w:cs="Times New Roman"/>
          <w:i/>
          <w:iCs/>
          <w:sz w:val="24"/>
          <w:szCs w:val="24"/>
        </w:rPr>
        <w:t>Mind</w:t>
      </w:r>
      <w:proofErr w:type="spellEnd"/>
      <w:r w:rsidRPr="00617DF3">
        <w:rPr>
          <w:rFonts w:ascii="Times New Roman" w:hAnsi="Times New Roman" w:cs="Times New Roman"/>
          <w:i/>
          <w:iCs/>
          <w:sz w:val="24"/>
          <w:szCs w:val="24"/>
        </w:rPr>
        <w:t xml:space="preserve">, </w:t>
      </w:r>
      <w:proofErr w:type="spellStart"/>
      <w:r w:rsidRPr="00617DF3">
        <w:rPr>
          <w:rFonts w:ascii="Times New Roman" w:hAnsi="Times New Roman" w:cs="Times New Roman"/>
          <w:i/>
          <w:iCs/>
          <w:sz w:val="24"/>
          <w:szCs w:val="24"/>
        </w:rPr>
        <w:t>Brain</w:t>
      </w:r>
      <w:proofErr w:type="spellEnd"/>
      <w:r w:rsidRPr="00617DF3">
        <w:rPr>
          <w:rFonts w:ascii="Times New Roman" w:hAnsi="Times New Roman" w:cs="Times New Roman"/>
          <w:i/>
          <w:iCs/>
          <w:sz w:val="24"/>
          <w:szCs w:val="24"/>
        </w:rPr>
        <w:t xml:space="preserve">, and </w:t>
      </w:r>
      <w:proofErr w:type="spellStart"/>
      <w:r w:rsidRPr="00617DF3">
        <w:rPr>
          <w:rFonts w:ascii="Times New Roman" w:hAnsi="Times New Roman" w:cs="Times New Roman"/>
          <w:i/>
          <w:iCs/>
          <w:sz w:val="24"/>
          <w:szCs w:val="24"/>
        </w:rPr>
        <w:t>Education</w:t>
      </w:r>
      <w:proofErr w:type="spellEnd"/>
      <w:r w:rsidRPr="00617DF3">
        <w:rPr>
          <w:rFonts w:ascii="Times New Roman" w:hAnsi="Times New Roman" w:cs="Times New Roman"/>
          <w:i/>
          <w:iCs/>
          <w:sz w:val="24"/>
          <w:szCs w:val="24"/>
        </w:rPr>
        <w:t>, 14</w:t>
      </w:r>
      <w:r w:rsidRPr="00617DF3">
        <w:rPr>
          <w:rFonts w:ascii="Times New Roman" w:hAnsi="Times New Roman" w:cs="Times New Roman"/>
          <w:sz w:val="24"/>
          <w:szCs w:val="24"/>
        </w:rPr>
        <w:t>(3), 279</w:t>
      </w:r>
      <w:r w:rsidR="0044664D" w:rsidRPr="00617DF3">
        <w:rPr>
          <w:rFonts w:ascii="Times New Roman" w:hAnsi="Times New Roman" w:cs="Times New Roman"/>
          <w:sz w:val="24"/>
          <w:szCs w:val="24"/>
        </w:rPr>
        <w:t>-</w:t>
      </w:r>
      <w:r w:rsidRPr="00617DF3">
        <w:rPr>
          <w:rFonts w:ascii="Times New Roman" w:hAnsi="Times New Roman" w:cs="Times New Roman"/>
          <w:sz w:val="24"/>
          <w:szCs w:val="24"/>
        </w:rPr>
        <w:t xml:space="preserve">291. </w:t>
      </w:r>
      <w:hyperlink r:id="rId26" w:history="1">
        <w:r w:rsidR="00BF31AF" w:rsidRPr="00617DF3">
          <w:rPr>
            <w:rStyle w:val="Hipervnculo"/>
            <w:rFonts w:ascii="Times New Roman" w:hAnsi="Times New Roman" w:cs="Times New Roman"/>
            <w:color w:val="auto"/>
            <w:sz w:val="24"/>
            <w:szCs w:val="24"/>
          </w:rPr>
          <w:t>https://doi.org/10.1111/mbe.12239</w:t>
        </w:r>
      </w:hyperlink>
    </w:p>
    <w:sectPr w:rsidR="008A5376" w:rsidRPr="0061135D" w:rsidSect="00617DF3">
      <w:footerReference w:type="default" r:id="rId27"/>
      <w:pgSz w:w="12240" w:h="15840"/>
      <w:pgMar w:top="1418" w:right="900"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85715" w14:textId="77777777" w:rsidR="001F0BF7" w:rsidRDefault="001F0BF7" w:rsidP="00617DF3">
      <w:pPr>
        <w:spacing w:after="0" w:line="240" w:lineRule="auto"/>
      </w:pPr>
      <w:r>
        <w:separator/>
      </w:r>
    </w:p>
  </w:endnote>
  <w:endnote w:type="continuationSeparator" w:id="0">
    <w:p w14:paraId="560502A1" w14:textId="77777777" w:rsidR="001F0BF7" w:rsidRDefault="001F0BF7" w:rsidP="00617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C0662" w14:textId="77777777" w:rsidR="00617DF3" w:rsidRPr="00B87E1C" w:rsidRDefault="00617DF3" w:rsidP="00617DF3">
    <w:pPr>
      <w:tabs>
        <w:tab w:val="left" w:pos="3390"/>
      </w:tabs>
      <w:jc w:val="center"/>
      <w:rPr>
        <w:rFonts w:ascii="Calibri" w:hAnsi="Calibri" w:cs="Calibri"/>
        <w:sz w:val="24"/>
        <w:szCs w:val="24"/>
      </w:rPr>
    </w:pPr>
    <w:r w:rsidRPr="00B87E1C">
      <w:rPr>
        <w:rFonts w:ascii="Calibri" w:hAnsi="Calibri" w:cs="Calibri"/>
        <w:b/>
        <w:sz w:val="24"/>
        <w:szCs w:val="24"/>
      </w:rPr>
      <w:t xml:space="preserve">Vol. 12, Núm. 24                  Julio – </w:t>
    </w:r>
    <w:proofErr w:type="gramStart"/>
    <w:r w:rsidRPr="00B87E1C">
      <w:rPr>
        <w:rFonts w:ascii="Calibri" w:hAnsi="Calibri" w:cs="Calibri"/>
        <w:b/>
        <w:sz w:val="24"/>
        <w:szCs w:val="24"/>
      </w:rPr>
      <w:t>Diciembre</w:t>
    </w:r>
    <w:proofErr w:type="gramEnd"/>
    <w:r w:rsidRPr="00B87E1C">
      <w:rPr>
        <w:rFonts w:ascii="Calibri" w:hAnsi="Calibri" w:cs="Calibri"/>
        <w:b/>
        <w:sz w:val="24"/>
        <w:szCs w:val="24"/>
      </w:rPr>
      <w:t xml:space="preserve"> 2025                        ISSN: 2448 – 6493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C098C" w14:textId="77777777" w:rsidR="001F0BF7" w:rsidRDefault="001F0BF7" w:rsidP="00617DF3">
      <w:pPr>
        <w:spacing w:after="0" w:line="240" w:lineRule="auto"/>
      </w:pPr>
      <w:r>
        <w:separator/>
      </w:r>
    </w:p>
  </w:footnote>
  <w:footnote w:type="continuationSeparator" w:id="0">
    <w:p w14:paraId="2A2FB7A2" w14:textId="77777777" w:rsidR="001F0BF7" w:rsidRDefault="001F0BF7" w:rsidP="00617D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D7AA9"/>
    <w:multiLevelType w:val="multilevel"/>
    <w:tmpl w:val="E2684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751C66"/>
    <w:multiLevelType w:val="multilevel"/>
    <w:tmpl w:val="6C149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8445171">
    <w:abstractNumId w:val="1"/>
  </w:num>
  <w:num w:numId="2" w16cid:durableId="123430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930"/>
    <w:rsid w:val="00002E48"/>
    <w:rsid w:val="0000541B"/>
    <w:rsid w:val="00005453"/>
    <w:rsid w:val="00006C64"/>
    <w:rsid w:val="00010E0A"/>
    <w:rsid w:val="00015157"/>
    <w:rsid w:val="00023842"/>
    <w:rsid w:val="0002646D"/>
    <w:rsid w:val="00030320"/>
    <w:rsid w:val="00033852"/>
    <w:rsid w:val="00036FAA"/>
    <w:rsid w:val="00037EBD"/>
    <w:rsid w:val="0004043C"/>
    <w:rsid w:val="00040BF0"/>
    <w:rsid w:val="00040DAC"/>
    <w:rsid w:val="00041032"/>
    <w:rsid w:val="00045861"/>
    <w:rsid w:val="00047BDD"/>
    <w:rsid w:val="00047BED"/>
    <w:rsid w:val="000531FD"/>
    <w:rsid w:val="00054C67"/>
    <w:rsid w:val="00055013"/>
    <w:rsid w:val="00055A8C"/>
    <w:rsid w:val="00057039"/>
    <w:rsid w:val="00060BB5"/>
    <w:rsid w:val="00060FC2"/>
    <w:rsid w:val="000677CF"/>
    <w:rsid w:val="000709D5"/>
    <w:rsid w:val="000803B7"/>
    <w:rsid w:val="00080CB1"/>
    <w:rsid w:val="000850C7"/>
    <w:rsid w:val="000941B4"/>
    <w:rsid w:val="000A1187"/>
    <w:rsid w:val="000A2339"/>
    <w:rsid w:val="000A5049"/>
    <w:rsid w:val="000B3AFB"/>
    <w:rsid w:val="000B75B7"/>
    <w:rsid w:val="000C1039"/>
    <w:rsid w:val="000C1688"/>
    <w:rsid w:val="000C308A"/>
    <w:rsid w:val="000C57A3"/>
    <w:rsid w:val="000D03D4"/>
    <w:rsid w:val="000D067F"/>
    <w:rsid w:val="000D1481"/>
    <w:rsid w:val="000D464A"/>
    <w:rsid w:val="000D4A4F"/>
    <w:rsid w:val="000E07DC"/>
    <w:rsid w:val="000E2AC1"/>
    <w:rsid w:val="000E7AA7"/>
    <w:rsid w:val="000F1D6C"/>
    <w:rsid w:val="000F468B"/>
    <w:rsid w:val="000F4C4F"/>
    <w:rsid w:val="000F5B73"/>
    <w:rsid w:val="00100218"/>
    <w:rsid w:val="001014D2"/>
    <w:rsid w:val="001073FC"/>
    <w:rsid w:val="001075D4"/>
    <w:rsid w:val="00111AA9"/>
    <w:rsid w:val="00114954"/>
    <w:rsid w:val="0011499C"/>
    <w:rsid w:val="00122529"/>
    <w:rsid w:val="0012468B"/>
    <w:rsid w:val="00127147"/>
    <w:rsid w:val="00131B94"/>
    <w:rsid w:val="001342E2"/>
    <w:rsid w:val="001354E6"/>
    <w:rsid w:val="00144497"/>
    <w:rsid w:val="001459D9"/>
    <w:rsid w:val="00154597"/>
    <w:rsid w:val="0015463D"/>
    <w:rsid w:val="00156C72"/>
    <w:rsid w:val="001615F7"/>
    <w:rsid w:val="00162C8E"/>
    <w:rsid w:val="00164502"/>
    <w:rsid w:val="00164B08"/>
    <w:rsid w:val="0017168E"/>
    <w:rsid w:val="0018215A"/>
    <w:rsid w:val="00182E57"/>
    <w:rsid w:val="00191A54"/>
    <w:rsid w:val="0019489A"/>
    <w:rsid w:val="0019497E"/>
    <w:rsid w:val="001A05CF"/>
    <w:rsid w:val="001A2F4E"/>
    <w:rsid w:val="001A5D4B"/>
    <w:rsid w:val="001A70B2"/>
    <w:rsid w:val="001B4AB6"/>
    <w:rsid w:val="001B4FFB"/>
    <w:rsid w:val="001B53C9"/>
    <w:rsid w:val="001C43CB"/>
    <w:rsid w:val="001D75BA"/>
    <w:rsid w:val="001E79AE"/>
    <w:rsid w:val="001F0BF7"/>
    <w:rsid w:val="001F101C"/>
    <w:rsid w:val="001F125D"/>
    <w:rsid w:val="001F3ABB"/>
    <w:rsid w:val="001F6B32"/>
    <w:rsid w:val="0020260E"/>
    <w:rsid w:val="00203874"/>
    <w:rsid w:val="0021418E"/>
    <w:rsid w:val="002169A1"/>
    <w:rsid w:val="00217038"/>
    <w:rsid w:val="0022510C"/>
    <w:rsid w:val="00225785"/>
    <w:rsid w:val="00225B60"/>
    <w:rsid w:val="002309B5"/>
    <w:rsid w:val="00230B39"/>
    <w:rsid w:val="00232C0A"/>
    <w:rsid w:val="00233199"/>
    <w:rsid w:val="0023382F"/>
    <w:rsid w:val="002340A7"/>
    <w:rsid w:val="00235AA1"/>
    <w:rsid w:val="00237C5C"/>
    <w:rsid w:val="002402B7"/>
    <w:rsid w:val="002426BA"/>
    <w:rsid w:val="00242E05"/>
    <w:rsid w:val="00247945"/>
    <w:rsid w:val="00247B01"/>
    <w:rsid w:val="00252BAB"/>
    <w:rsid w:val="00255340"/>
    <w:rsid w:val="00256B74"/>
    <w:rsid w:val="00257DE1"/>
    <w:rsid w:val="00262BD8"/>
    <w:rsid w:val="00265807"/>
    <w:rsid w:val="002770A3"/>
    <w:rsid w:val="0027724F"/>
    <w:rsid w:val="00277BE5"/>
    <w:rsid w:val="0028078A"/>
    <w:rsid w:val="00282A13"/>
    <w:rsid w:val="00283FEF"/>
    <w:rsid w:val="00287396"/>
    <w:rsid w:val="00290409"/>
    <w:rsid w:val="00290D64"/>
    <w:rsid w:val="00291B49"/>
    <w:rsid w:val="00293082"/>
    <w:rsid w:val="00294979"/>
    <w:rsid w:val="00297095"/>
    <w:rsid w:val="002A2329"/>
    <w:rsid w:val="002A30C4"/>
    <w:rsid w:val="002A455B"/>
    <w:rsid w:val="002B6BAA"/>
    <w:rsid w:val="002C4FBC"/>
    <w:rsid w:val="002E141B"/>
    <w:rsid w:val="002E598C"/>
    <w:rsid w:val="002F1A8D"/>
    <w:rsid w:val="002F23DF"/>
    <w:rsid w:val="002F2AD1"/>
    <w:rsid w:val="002F32B5"/>
    <w:rsid w:val="002F3F15"/>
    <w:rsid w:val="002F6EF5"/>
    <w:rsid w:val="002F728B"/>
    <w:rsid w:val="002F7B67"/>
    <w:rsid w:val="00301BD2"/>
    <w:rsid w:val="00302086"/>
    <w:rsid w:val="003064CB"/>
    <w:rsid w:val="00307796"/>
    <w:rsid w:val="003273DD"/>
    <w:rsid w:val="00330D41"/>
    <w:rsid w:val="00331204"/>
    <w:rsid w:val="00331638"/>
    <w:rsid w:val="00337ED7"/>
    <w:rsid w:val="00341B93"/>
    <w:rsid w:val="00343A29"/>
    <w:rsid w:val="00344FB8"/>
    <w:rsid w:val="00353B98"/>
    <w:rsid w:val="00357853"/>
    <w:rsid w:val="003579C9"/>
    <w:rsid w:val="00361726"/>
    <w:rsid w:val="00362010"/>
    <w:rsid w:val="003635B2"/>
    <w:rsid w:val="003663C5"/>
    <w:rsid w:val="003666B5"/>
    <w:rsid w:val="00367A5F"/>
    <w:rsid w:val="00367A65"/>
    <w:rsid w:val="00371193"/>
    <w:rsid w:val="003713C9"/>
    <w:rsid w:val="003733C3"/>
    <w:rsid w:val="003751E0"/>
    <w:rsid w:val="00375468"/>
    <w:rsid w:val="003768A6"/>
    <w:rsid w:val="00377D8A"/>
    <w:rsid w:val="00380169"/>
    <w:rsid w:val="0038194D"/>
    <w:rsid w:val="00382647"/>
    <w:rsid w:val="00383AE0"/>
    <w:rsid w:val="0038564F"/>
    <w:rsid w:val="003923A1"/>
    <w:rsid w:val="003A33B3"/>
    <w:rsid w:val="003A33DC"/>
    <w:rsid w:val="003A4BC5"/>
    <w:rsid w:val="003A5D4B"/>
    <w:rsid w:val="003B1160"/>
    <w:rsid w:val="003B1BE2"/>
    <w:rsid w:val="003B516B"/>
    <w:rsid w:val="003B5608"/>
    <w:rsid w:val="003C0E15"/>
    <w:rsid w:val="003C2BC9"/>
    <w:rsid w:val="003C3BA6"/>
    <w:rsid w:val="003C5489"/>
    <w:rsid w:val="003C6959"/>
    <w:rsid w:val="003C7358"/>
    <w:rsid w:val="003C77D3"/>
    <w:rsid w:val="003D0225"/>
    <w:rsid w:val="003D075C"/>
    <w:rsid w:val="003D43B8"/>
    <w:rsid w:val="003E67F2"/>
    <w:rsid w:val="003F7CC0"/>
    <w:rsid w:val="00400D37"/>
    <w:rsid w:val="0040442A"/>
    <w:rsid w:val="0041338A"/>
    <w:rsid w:val="00413A2F"/>
    <w:rsid w:val="00413E6F"/>
    <w:rsid w:val="004153D5"/>
    <w:rsid w:val="00415543"/>
    <w:rsid w:val="004178E8"/>
    <w:rsid w:val="00421205"/>
    <w:rsid w:val="00422795"/>
    <w:rsid w:val="0042780E"/>
    <w:rsid w:val="004328FB"/>
    <w:rsid w:val="00437DC3"/>
    <w:rsid w:val="004412B1"/>
    <w:rsid w:val="0044664D"/>
    <w:rsid w:val="00446B44"/>
    <w:rsid w:val="00450640"/>
    <w:rsid w:val="00451AB3"/>
    <w:rsid w:val="00451E17"/>
    <w:rsid w:val="00451FD3"/>
    <w:rsid w:val="00453696"/>
    <w:rsid w:val="004554F9"/>
    <w:rsid w:val="00457DD7"/>
    <w:rsid w:val="00462265"/>
    <w:rsid w:val="00463E50"/>
    <w:rsid w:val="00465715"/>
    <w:rsid w:val="00471112"/>
    <w:rsid w:val="004728F1"/>
    <w:rsid w:val="00472D63"/>
    <w:rsid w:val="00473CAF"/>
    <w:rsid w:val="004758D5"/>
    <w:rsid w:val="004856E7"/>
    <w:rsid w:val="0048634B"/>
    <w:rsid w:val="004918F0"/>
    <w:rsid w:val="00492179"/>
    <w:rsid w:val="004941D1"/>
    <w:rsid w:val="004947FF"/>
    <w:rsid w:val="00496C52"/>
    <w:rsid w:val="00497E12"/>
    <w:rsid w:val="004A1F0C"/>
    <w:rsid w:val="004A2E50"/>
    <w:rsid w:val="004A3420"/>
    <w:rsid w:val="004A5311"/>
    <w:rsid w:val="004B3EFB"/>
    <w:rsid w:val="004B7C7A"/>
    <w:rsid w:val="004C2572"/>
    <w:rsid w:val="004C3535"/>
    <w:rsid w:val="004C62A7"/>
    <w:rsid w:val="004D0782"/>
    <w:rsid w:val="004D0AF7"/>
    <w:rsid w:val="004D16C2"/>
    <w:rsid w:val="004D1CBF"/>
    <w:rsid w:val="004D5853"/>
    <w:rsid w:val="004E01F2"/>
    <w:rsid w:val="004E02BD"/>
    <w:rsid w:val="004E0476"/>
    <w:rsid w:val="004E358D"/>
    <w:rsid w:val="004E3FCF"/>
    <w:rsid w:val="004E5D8C"/>
    <w:rsid w:val="004E68E5"/>
    <w:rsid w:val="004E7CD3"/>
    <w:rsid w:val="004F1FE6"/>
    <w:rsid w:val="004F356B"/>
    <w:rsid w:val="004F4C4D"/>
    <w:rsid w:val="004F59EA"/>
    <w:rsid w:val="004F68C4"/>
    <w:rsid w:val="004F69DC"/>
    <w:rsid w:val="005000A6"/>
    <w:rsid w:val="005022EA"/>
    <w:rsid w:val="0050299F"/>
    <w:rsid w:val="00504376"/>
    <w:rsid w:val="00510FDD"/>
    <w:rsid w:val="005113C2"/>
    <w:rsid w:val="005163EC"/>
    <w:rsid w:val="00521EED"/>
    <w:rsid w:val="00524E1D"/>
    <w:rsid w:val="00533F7A"/>
    <w:rsid w:val="00534D27"/>
    <w:rsid w:val="00541EF5"/>
    <w:rsid w:val="00547608"/>
    <w:rsid w:val="005517D0"/>
    <w:rsid w:val="00556441"/>
    <w:rsid w:val="0055678E"/>
    <w:rsid w:val="005613FE"/>
    <w:rsid w:val="005737C7"/>
    <w:rsid w:val="005771C4"/>
    <w:rsid w:val="00577326"/>
    <w:rsid w:val="00583503"/>
    <w:rsid w:val="00583BE4"/>
    <w:rsid w:val="005A0986"/>
    <w:rsid w:val="005A0CD9"/>
    <w:rsid w:val="005B0ECF"/>
    <w:rsid w:val="005B2F14"/>
    <w:rsid w:val="005B427A"/>
    <w:rsid w:val="005B53EC"/>
    <w:rsid w:val="005B5EB4"/>
    <w:rsid w:val="005B65B6"/>
    <w:rsid w:val="005B7038"/>
    <w:rsid w:val="005C58A1"/>
    <w:rsid w:val="005D0294"/>
    <w:rsid w:val="005D0D29"/>
    <w:rsid w:val="005D14C3"/>
    <w:rsid w:val="005D6DA9"/>
    <w:rsid w:val="005E34E3"/>
    <w:rsid w:val="005F1D00"/>
    <w:rsid w:val="005F3CA9"/>
    <w:rsid w:val="005F5202"/>
    <w:rsid w:val="005F5A97"/>
    <w:rsid w:val="005F6573"/>
    <w:rsid w:val="005F7A87"/>
    <w:rsid w:val="00602A0E"/>
    <w:rsid w:val="00606E42"/>
    <w:rsid w:val="00607F28"/>
    <w:rsid w:val="006108CA"/>
    <w:rsid w:val="0061135D"/>
    <w:rsid w:val="00616152"/>
    <w:rsid w:val="00617DF3"/>
    <w:rsid w:val="00620416"/>
    <w:rsid w:val="006328D0"/>
    <w:rsid w:val="0063524F"/>
    <w:rsid w:val="006373CB"/>
    <w:rsid w:val="00637C38"/>
    <w:rsid w:val="006479F6"/>
    <w:rsid w:val="00647A1B"/>
    <w:rsid w:val="00654CE0"/>
    <w:rsid w:val="00656930"/>
    <w:rsid w:val="00662368"/>
    <w:rsid w:val="0066556F"/>
    <w:rsid w:val="00666133"/>
    <w:rsid w:val="00673184"/>
    <w:rsid w:val="00680F18"/>
    <w:rsid w:val="00681FE4"/>
    <w:rsid w:val="00683C28"/>
    <w:rsid w:val="00685242"/>
    <w:rsid w:val="006864F1"/>
    <w:rsid w:val="00686D33"/>
    <w:rsid w:val="006871C3"/>
    <w:rsid w:val="00693B7C"/>
    <w:rsid w:val="00695201"/>
    <w:rsid w:val="00695404"/>
    <w:rsid w:val="006A21A6"/>
    <w:rsid w:val="006A6E90"/>
    <w:rsid w:val="006A793B"/>
    <w:rsid w:val="006B1850"/>
    <w:rsid w:val="006B1BDD"/>
    <w:rsid w:val="006B266B"/>
    <w:rsid w:val="006B34AD"/>
    <w:rsid w:val="006B5908"/>
    <w:rsid w:val="006D0919"/>
    <w:rsid w:val="006D61C9"/>
    <w:rsid w:val="006D7FC0"/>
    <w:rsid w:val="006E2C89"/>
    <w:rsid w:val="006E5CAE"/>
    <w:rsid w:val="006F297D"/>
    <w:rsid w:val="006F3858"/>
    <w:rsid w:val="006F3A92"/>
    <w:rsid w:val="006F3B84"/>
    <w:rsid w:val="006F7057"/>
    <w:rsid w:val="007021D3"/>
    <w:rsid w:val="00707001"/>
    <w:rsid w:val="00707A83"/>
    <w:rsid w:val="00711A43"/>
    <w:rsid w:val="00714DC8"/>
    <w:rsid w:val="00717C21"/>
    <w:rsid w:val="00723E73"/>
    <w:rsid w:val="00724D04"/>
    <w:rsid w:val="0072526F"/>
    <w:rsid w:val="007275E1"/>
    <w:rsid w:val="00730CF0"/>
    <w:rsid w:val="00731F8B"/>
    <w:rsid w:val="00731F95"/>
    <w:rsid w:val="00733524"/>
    <w:rsid w:val="00734615"/>
    <w:rsid w:val="007352A5"/>
    <w:rsid w:val="00737F8B"/>
    <w:rsid w:val="007405E6"/>
    <w:rsid w:val="007408A2"/>
    <w:rsid w:val="007435E8"/>
    <w:rsid w:val="00747293"/>
    <w:rsid w:val="00747AAF"/>
    <w:rsid w:val="00750C88"/>
    <w:rsid w:val="0076167D"/>
    <w:rsid w:val="00766976"/>
    <w:rsid w:val="00766E50"/>
    <w:rsid w:val="00767CEA"/>
    <w:rsid w:val="00767D03"/>
    <w:rsid w:val="00777BB4"/>
    <w:rsid w:val="00783739"/>
    <w:rsid w:val="007845D4"/>
    <w:rsid w:val="00790350"/>
    <w:rsid w:val="00792CB9"/>
    <w:rsid w:val="0079341F"/>
    <w:rsid w:val="00794033"/>
    <w:rsid w:val="007957DD"/>
    <w:rsid w:val="007A0FAC"/>
    <w:rsid w:val="007A2588"/>
    <w:rsid w:val="007A41AF"/>
    <w:rsid w:val="007A516D"/>
    <w:rsid w:val="007A62AA"/>
    <w:rsid w:val="007B2D33"/>
    <w:rsid w:val="007B57AA"/>
    <w:rsid w:val="007B71F8"/>
    <w:rsid w:val="007B788C"/>
    <w:rsid w:val="007C0A21"/>
    <w:rsid w:val="007C26AA"/>
    <w:rsid w:val="007C3CE3"/>
    <w:rsid w:val="007C501D"/>
    <w:rsid w:val="007D0373"/>
    <w:rsid w:val="007D518A"/>
    <w:rsid w:val="007D61A2"/>
    <w:rsid w:val="007D6744"/>
    <w:rsid w:val="007E2693"/>
    <w:rsid w:val="007E4DC1"/>
    <w:rsid w:val="007F041E"/>
    <w:rsid w:val="007F22D0"/>
    <w:rsid w:val="007F3CC0"/>
    <w:rsid w:val="007F4458"/>
    <w:rsid w:val="007F6704"/>
    <w:rsid w:val="00801F52"/>
    <w:rsid w:val="00803AD6"/>
    <w:rsid w:val="008047BA"/>
    <w:rsid w:val="00806AC8"/>
    <w:rsid w:val="00807CF4"/>
    <w:rsid w:val="00810297"/>
    <w:rsid w:val="00810B9D"/>
    <w:rsid w:val="0081280B"/>
    <w:rsid w:val="00813FC9"/>
    <w:rsid w:val="00815764"/>
    <w:rsid w:val="008158C4"/>
    <w:rsid w:val="00817775"/>
    <w:rsid w:val="008219C9"/>
    <w:rsid w:val="00827207"/>
    <w:rsid w:val="008304CB"/>
    <w:rsid w:val="00833615"/>
    <w:rsid w:val="00833CA4"/>
    <w:rsid w:val="008345C9"/>
    <w:rsid w:val="0083483C"/>
    <w:rsid w:val="00835F98"/>
    <w:rsid w:val="008367B5"/>
    <w:rsid w:val="00837691"/>
    <w:rsid w:val="008376F5"/>
    <w:rsid w:val="008401DE"/>
    <w:rsid w:val="008402D9"/>
    <w:rsid w:val="00842D3B"/>
    <w:rsid w:val="008431E0"/>
    <w:rsid w:val="00847CE0"/>
    <w:rsid w:val="008521DF"/>
    <w:rsid w:val="00856996"/>
    <w:rsid w:val="008574AA"/>
    <w:rsid w:val="008577E5"/>
    <w:rsid w:val="008619E7"/>
    <w:rsid w:val="00864C65"/>
    <w:rsid w:val="00864CA2"/>
    <w:rsid w:val="00867042"/>
    <w:rsid w:val="00870923"/>
    <w:rsid w:val="00873156"/>
    <w:rsid w:val="00874C2D"/>
    <w:rsid w:val="00875385"/>
    <w:rsid w:val="00880315"/>
    <w:rsid w:val="0088077A"/>
    <w:rsid w:val="00883C11"/>
    <w:rsid w:val="0088449B"/>
    <w:rsid w:val="00884CB4"/>
    <w:rsid w:val="00887468"/>
    <w:rsid w:val="0089085B"/>
    <w:rsid w:val="00890FC1"/>
    <w:rsid w:val="0089493F"/>
    <w:rsid w:val="00896690"/>
    <w:rsid w:val="008A0148"/>
    <w:rsid w:val="008A30E5"/>
    <w:rsid w:val="008A5376"/>
    <w:rsid w:val="008A5856"/>
    <w:rsid w:val="008A5E49"/>
    <w:rsid w:val="008B02D1"/>
    <w:rsid w:val="008B25B9"/>
    <w:rsid w:val="008B273F"/>
    <w:rsid w:val="008B447C"/>
    <w:rsid w:val="008B5089"/>
    <w:rsid w:val="008D02D4"/>
    <w:rsid w:val="008D0E9D"/>
    <w:rsid w:val="008D402B"/>
    <w:rsid w:val="008D4B37"/>
    <w:rsid w:val="008D56C4"/>
    <w:rsid w:val="008D65D8"/>
    <w:rsid w:val="008D6A22"/>
    <w:rsid w:val="008D730C"/>
    <w:rsid w:val="008D7DF8"/>
    <w:rsid w:val="008E0880"/>
    <w:rsid w:val="008E4D92"/>
    <w:rsid w:val="008E7E16"/>
    <w:rsid w:val="008F18D4"/>
    <w:rsid w:val="00903AF9"/>
    <w:rsid w:val="00930B0B"/>
    <w:rsid w:val="00934B2F"/>
    <w:rsid w:val="009360AB"/>
    <w:rsid w:val="009372D7"/>
    <w:rsid w:val="00940C98"/>
    <w:rsid w:val="009417DC"/>
    <w:rsid w:val="00942705"/>
    <w:rsid w:val="00945794"/>
    <w:rsid w:val="00946035"/>
    <w:rsid w:val="0094654D"/>
    <w:rsid w:val="00951E23"/>
    <w:rsid w:val="00954CEA"/>
    <w:rsid w:val="0095580E"/>
    <w:rsid w:val="00960F85"/>
    <w:rsid w:val="00961F08"/>
    <w:rsid w:val="009646F8"/>
    <w:rsid w:val="00972ABD"/>
    <w:rsid w:val="0097572E"/>
    <w:rsid w:val="009777BD"/>
    <w:rsid w:val="00977B66"/>
    <w:rsid w:val="00980727"/>
    <w:rsid w:val="00980900"/>
    <w:rsid w:val="00984B60"/>
    <w:rsid w:val="00985111"/>
    <w:rsid w:val="0098538E"/>
    <w:rsid w:val="00986CFF"/>
    <w:rsid w:val="00987059"/>
    <w:rsid w:val="00990E69"/>
    <w:rsid w:val="0099222B"/>
    <w:rsid w:val="009922D9"/>
    <w:rsid w:val="00993BF6"/>
    <w:rsid w:val="00996347"/>
    <w:rsid w:val="009A0F75"/>
    <w:rsid w:val="009A2829"/>
    <w:rsid w:val="009A4BD7"/>
    <w:rsid w:val="009A4D0D"/>
    <w:rsid w:val="009A566F"/>
    <w:rsid w:val="009A763F"/>
    <w:rsid w:val="009A7AC6"/>
    <w:rsid w:val="009B0358"/>
    <w:rsid w:val="009B4E94"/>
    <w:rsid w:val="009B66B7"/>
    <w:rsid w:val="009B763D"/>
    <w:rsid w:val="009B7B85"/>
    <w:rsid w:val="009B7F8F"/>
    <w:rsid w:val="009C5EA5"/>
    <w:rsid w:val="009E40AD"/>
    <w:rsid w:val="009E7565"/>
    <w:rsid w:val="009F06F3"/>
    <w:rsid w:val="009F18DB"/>
    <w:rsid w:val="00A05D4B"/>
    <w:rsid w:val="00A06DBC"/>
    <w:rsid w:val="00A072A6"/>
    <w:rsid w:val="00A07ECE"/>
    <w:rsid w:val="00A24443"/>
    <w:rsid w:val="00A26570"/>
    <w:rsid w:val="00A35828"/>
    <w:rsid w:val="00A40E74"/>
    <w:rsid w:val="00A4375F"/>
    <w:rsid w:val="00A43FEC"/>
    <w:rsid w:val="00A446FA"/>
    <w:rsid w:val="00A45642"/>
    <w:rsid w:val="00A50188"/>
    <w:rsid w:val="00A5660B"/>
    <w:rsid w:val="00A6668C"/>
    <w:rsid w:val="00A71611"/>
    <w:rsid w:val="00A7293D"/>
    <w:rsid w:val="00A80A6A"/>
    <w:rsid w:val="00A8237F"/>
    <w:rsid w:val="00A82493"/>
    <w:rsid w:val="00A8292E"/>
    <w:rsid w:val="00A85735"/>
    <w:rsid w:val="00A86151"/>
    <w:rsid w:val="00A92F30"/>
    <w:rsid w:val="00A941F6"/>
    <w:rsid w:val="00A958B6"/>
    <w:rsid w:val="00A97495"/>
    <w:rsid w:val="00A97F02"/>
    <w:rsid w:val="00AA0C90"/>
    <w:rsid w:val="00AA55CF"/>
    <w:rsid w:val="00AA643C"/>
    <w:rsid w:val="00AA7B37"/>
    <w:rsid w:val="00AB150B"/>
    <w:rsid w:val="00AB4CB1"/>
    <w:rsid w:val="00AB64B1"/>
    <w:rsid w:val="00AB6BAF"/>
    <w:rsid w:val="00AB7EE2"/>
    <w:rsid w:val="00AC1D08"/>
    <w:rsid w:val="00AC3C6E"/>
    <w:rsid w:val="00AC4126"/>
    <w:rsid w:val="00AC67AD"/>
    <w:rsid w:val="00AD3959"/>
    <w:rsid w:val="00AD4138"/>
    <w:rsid w:val="00AD4B13"/>
    <w:rsid w:val="00AD5AA4"/>
    <w:rsid w:val="00AD62FB"/>
    <w:rsid w:val="00AE0A82"/>
    <w:rsid w:val="00AE22BE"/>
    <w:rsid w:val="00AE62AD"/>
    <w:rsid w:val="00AF3370"/>
    <w:rsid w:val="00AF55B4"/>
    <w:rsid w:val="00AF6C2D"/>
    <w:rsid w:val="00B00FDC"/>
    <w:rsid w:val="00B01CEA"/>
    <w:rsid w:val="00B02DA8"/>
    <w:rsid w:val="00B055C4"/>
    <w:rsid w:val="00B06717"/>
    <w:rsid w:val="00B100BF"/>
    <w:rsid w:val="00B10D6F"/>
    <w:rsid w:val="00B12A7A"/>
    <w:rsid w:val="00B146DD"/>
    <w:rsid w:val="00B15139"/>
    <w:rsid w:val="00B15550"/>
    <w:rsid w:val="00B158AE"/>
    <w:rsid w:val="00B16972"/>
    <w:rsid w:val="00B17BA6"/>
    <w:rsid w:val="00B21DED"/>
    <w:rsid w:val="00B26A60"/>
    <w:rsid w:val="00B31404"/>
    <w:rsid w:val="00B31CB8"/>
    <w:rsid w:val="00B32CA2"/>
    <w:rsid w:val="00B34775"/>
    <w:rsid w:val="00B416FC"/>
    <w:rsid w:val="00B479BC"/>
    <w:rsid w:val="00B51EDB"/>
    <w:rsid w:val="00B61CF9"/>
    <w:rsid w:val="00B6273A"/>
    <w:rsid w:val="00B628B3"/>
    <w:rsid w:val="00B71BDE"/>
    <w:rsid w:val="00B7358D"/>
    <w:rsid w:val="00B80DAE"/>
    <w:rsid w:val="00B848C9"/>
    <w:rsid w:val="00B861C7"/>
    <w:rsid w:val="00B8798F"/>
    <w:rsid w:val="00B90857"/>
    <w:rsid w:val="00B92230"/>
    <w:rsid w:val="00B9362B"/>
    <w:rsid w:val="00BA6E08"/>
    <w:rsid w:val="00BB0AB4"/>
    <w:rsid w:val="00BB33AD"/>
    <w:rsid w:val="00BB3CCC"/>
    <w:rsid w:val="00BC39C2"/>
    <w:rsid w:val="00BC5B1E"/>
    <w:rsid w:val="00BD2116"/>
    <w:rsid w:val="00BD4F97"/>
    <w:rsid w:val="00BD4FA8"/>
    <w:rsid w:val="00BD5359"/>
    <w:rsid w:val="00BE1664"/>
    <w:rsid w:val="00BE2ED4"/>
    <w:rsid w:val="00BE4A1D"/>
    <w:rsid w:val="00BE7F5D"/>
    <w:rsid w:val="00BF1E24"/>
    <w:rsid w:val="00BF31AF"/>
    <w:rsid w:val="00C00646"/>
    <w:rsid w:val="00C0249B"/>
    <w:rsid w:val="00C02DBE"/>
    <w:rsid w:val="00C02DE3"/>
    <w:rsid w:val="00C02E1B"/>
    <w:rsid w:val="00C112C4"/>
    <w:rsid w:val="00C13812"/>
    <w:rsid w:val="00C15612"/>
    <w:rsid w:val="00C17419"/>
    <w:rsid w:val="00C175F0"/>
    <w:rsid w:val="00C2283C"/>
    <w:rsid w:val="00C257EF"/>
    <w:rsid w:val="00C279A4"/>
    <w:rsid w:val="00C334FD"/>
    <w:rsid w:val="00C3397E"/>
    <w:rsid w:val="00C4318A"/>
    <w:rsid w:val="00C46276"/>
    <w:rsid w:val="00C4710B"/>
    <w:rsid w:val="00C522D6"/>
    <w:rsid w:val="00C539AC"/>
    <w:rsid w:val="00C53B7A"/>
    <w:rsid w:val="00C5505D"/>
    <w:rsid w:val="00C57D82"/>
    <w:rsid w:val="00C62529"/>
    <w:rsid w:val="00C64613"/>
    <w:rsid w:val="00C64EE6"/>
    <w:rsid w:val="00C72145"/>
    <w:rsid w:val="00C74C5F"/>
    <w:rsid w:val="00C800C9"/>
    <w:rsid w:val="00C80B39"/>
    <w:rsid w:val="00C81356"/>
    <w:rsid w:val="00C82C94"/>
    <w:rsid w:val="00C82E40"/>
    <w:rsid w:val="00C83B4B"/>
    <w:rsid w:val="00C87B33"/>
    <w:rsid w:val="00C908A3"/>
    <w:rsid w:val="00C915BF"/>
    <w:rsid w:val="00C93D4F"/>
    <w:rsid w:val="00CB0B80"/>
    <w:rsid w:val="00CB11DA"/>
    <w:rsid w:val="00CB3F4A"/>
    <w:rsid w:val="00CB7287"/>
    <w:rsid w:val="00CC6730"/>
    <w:rsid w:val="00CC6F9E"/>
    <w:rsid w:val="00CE068A"/>
    <w:rsid w:val="00CE2079"/>
    <w:rsid w:val="00CE22C8"/>
    <w:rsid w:val="00CE331E"/>
    <w:rsid w:val="00CE4FA5"/>
    <w:rsid w:val="00CE6A63"/>
    <w:rsid w:val="00CF3F82"/>
    <w:rsid w:val="00CF3F8D"/>
    <w:rsid w:val="00CF5CD6"/>
    <w:rsid w:val="00CF5E06"/>
    <w:rsid w:val="00CF612E"/>
    <w:rsid w:val="00CF7E3F"/>
    <w:rsid w:val="00D00CB2"/>
    <w:rsid w:val="00D07CCE"/>
    <w:rsid w:val="00D121BD"/>
    <w:rsid w:val="00D139CE"/>
    <w:rsid w:val="00D147C5"/>
    <w:rsid w:val="00D203AE"/>
    <w:rsid w:val="00D21781"/>
    <w:rsid w:val="00D2539F"/>
    <w:rsid w:val="00D27312"/>
    <w:rsid w:val="00D306D5"/>
    <w:rsid w:val="00D36EBA"/>
    <w:rsid w:val="00D40FC7"/>
    <w:rsid w:val="00D424ED"/>
    <w:rsid w:val="00D43248"/>
    <w:rsid w:val="00D4605A"/>
    <w:rsid w:val="00D5188C"/>
    <w:rsid w:val="00D51F16"/>
    <w:rsid w:val="00D557AD"/>
    <w:rsid w:val="00D60642"/>
    <w:rsid w:val="00D6332E"/>
    <w:rsid w:val="00D64151"/>
    <w:rsid w:val="00D64C94"/>
    <w:rsid w:val="00D667AE"/>
    <w:rsid w:val="00D703C8"/>
    <w:rsid w:val="00D707DA"/>
    <w:rsid w:val="00D72355"/>
    <w:rsid w:val="00D754D5"/>
    <w:rsid w:val="00D77099"/>
    <w:rsid w:val="00D83CD1"/>
    <w:rsid w:val="00D83E87"/>
    <w:rsid w:val="00D84861"/>
    <w:rsid w:val="00D84EA8"/>
    <w:rsid w:val="00DA1080"/>
    <w:rsid w:val="00DA253A"/>
    <w:rsid w:val="00DA25EB"/>
    <w:rsid w:val="00DA7F6C"/>
    <w:rsid w:val="00DB27D6"/>
    <w:rsid w:val="00DC20AC"/>
    <w:rsid w:val="00DC45C6"/>
    <w:rsid w:val="00DC5C99"/>
    <w:rsid w:val="00DC704B"/>
    <w:rsid w:val="00DD0627"/>
    <w:rsid w:val="00DD2BD7"/>
    <w:rsid w:val="00DD3413"/>
    <w:rsid w:val="00DD6117"/>
    <w:rsid w:val="00DE223E"/>
    <w:rsid w:val="00DE5BA0"/>
    <w:rsid w:val="00DE675A"/>
    <w:rsid w:val="00DE7856"/>
    <w:rsid w:val="00DE7A24"/>
    <w:rsid w:val="00DF009F"/>
    <w:rsid w:val="00DF384F"/>
    <w:rsid w:val="00E01A6B"/>
    <w:rsid w:val="00E0280B"/>
    <w:rsid w:val="00E0451E"/>
    <w:rsid w:val="00E06ED1"/>
    <w:rsid w:val="00E11A08"/>
    <w:rsid w:val="00E12865"/>
    <w:rsid w:val="00E138A2"/>
    <w:rsid w:val="00E1582B"/>
    <w:rsid w:val="00E17B3E"/>
    <w:rsid w:val="00E210D1"/>
    <w:rsid w:val="00E24FAC"/>
    <w:rsid w:val="00E25C75"/>
    <w:rsid w:val="00E376D3"/>
    <w:rsid w:val="00E47341"/>
    <w:rsid w:val="00E474AF"/>
    <w:rsid w:val="00E47D08"/>
    <w:rsid w:val="00E507B6"/>
    <w:rsid w:val="00E56DB1"/>
    <w:rsid w:val="00E6768B"/>
    <w:rsid w:val="00E67A41"/>
    <w:rsid w:val="00E73563"/>
    <w:rsid w:val="00E76B8E"/>
    <w:rsid w:val="00E80514"/>
    <w:rsid w:val="00E806F7"/>
    <w:rsid w:val="00E826EC"/>
    <w:rsid w:val="00E82C80"/>
    <w:rsid w:val="00E83DD9"/>
    <w:rsid w:val="00E91FE7"/>
    <w:rsid w:val="00E9253D"/>
    <w:rsid w:val="00E95C9C"/>
    <w:rsid w:val="00E96AD1"/>
    <w:rsid w:val="00E96E4A"/>
    <w:rsid w:val="00EA2C00"/>
    <w:rsid w:val="00EA5109"/>
    <w:rsid w:val="00EA5301"/>
    <w:rsid w:val="00EA6BC3"/>
    <w:rsid w:val="00EB1000"/>
    <w:rsid w:val="00EB1D68"/>
    <w:rsid w:val="00EB27CB"/>
    <w:rsid w:val="00EB3B40"/>
    <w:rsid w:val="00EB4D54"/>
    <w:rsid w:val="00EB756F"/>
    <w:rsid w:val="00EC2ED0"/>
    <w:rsid w:val="00EC7CC2"/>
    <w:rsid w:val="00ED3AA5"/>
    <w:rsid w:val="00EE0947"/>
    <w:rsid w:val="00EE213D"/>
    <w:rsid w:val="00EE572C"/>
    <w:rsid w:val="00EE59DC"/>
    <w:rsid w:val="00EE7347"/>
    <w:rsid w:val="00EE7F7F"/>
    <w:rsid w:val="00EF5A7C"/>
    <w:rsid w:val="00EF742C"/>
    <w:rsid w:val="00F02D85"/>
    <w:rsid w:val="00F06424"/>
    <w:rsid w:val="00F10346"/>
    <w:rsid w:val="00F10392"/>
    <w:rsid w:val="00F1289E"/>
    <w:rsid w:val="00F150C6"/>
    <w:rsid w:val="00F173E3"/>
    <w:rsid w:val="00F20817"/>
    <w:rsid w:val="00F21E0A"/>
    <w:rsid w:val="00F239EF"/>
    <w:rsid w:val="00F240BE"/>
    <w:rsid w:val="00F257E9"/>
    <w:rsid w:val="00F25D4C"/>
    <w:rsid w:val="00F3038A"/>
    <w:rsid w:val="00F33386"/>
    <w:rsid w:val="00F33CB5"/>
    <w:rsid w:val="00F373CF"/>
    <w:rsid w:val="00F4006A"/>
    <w:rsid w:val="00F40B52"/>
    <w:rsid w:val="00F50E2E"/>
    <w:rsid w:val="00F5599B"/>
    <w:rsid w:val="00F56DC8"/>
    <w:rsid w:val="00F613C7"/>
    <w:rsid w:val="00F64220"/>
    <w:rsid w:val="00F647C9"/>
    <w:rsid w:val="00F6573F"/>
    <w:rsid w:val="00F66308"/>
    <w:rsid w:val="00F721B8"/>
    <w:rsid w:val="00F76FFE"/>
    <w:rsid w:val="00F77D08"/>
    <w:rsid w:val="00F802F2"/>
    <w:rsid w:val="00F82C13"/>
    <w:rsid w:val="00F90386"/>
    <w:rsid w:val="00F90CA9"/>
    <w:rsid w:val="00F90E11"/>
    <w:rsid w:val="00F94ECB"/>
    <w:rsid w:val="00F9585F"/>
    <w:rsid w:val="00F9597A"/>
    <w:rsid w:val="00F97B5E"/>
    <w:rsid w:val="00FA3729"/>
    <w:rsid w:val="00FA68BE"/>
    <w:rsid w:val="00FB130D"/>
    <w:rsid w:val="00FB1444"/>
    <w:rsid w:val="00FB1817"/>
    <w:rsid w:val="00FB673D"/>
    <w:rsid w:val="00FC1E54"/>
    <w:rsid w:val="00FC2700"/>
    <w:rsid w:val="00FC280F"/>
    <w:rsid w:val="00FC3A7E"/>
    <w:rsid w:val="00FC3A98"/>
    <w:rsid w:val="00FC4405"/>
    <w:rsid w:val="00FC75C5"/>
    <w:rsid w:val="00FD26E4"/>
    <w:rsid w:val="00FD7ACF"/>
    <w:rsid w:val="00FE3177"/>
    <w:rsid w:val="00FE4615"/>
    <w:rsid w:val="00FE4AF4"/>
    <w:rsid w:val="00FE5E1B"/>
    <w:rsid w:val="00FF089A"/>
    <w:rsid w:val="00FF1B06"/>
    <w:rsid w:val="00FF2846"/>
    <w:rsid w:val="00FF3D14"/>
    <w:rsid w:val="00FF484D"/>
    <w:rsid w:val="00FF51D4"/>
    <w:rsid w:val="00FF6B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1EFB07"/>
  <w15:chartTrackingRefBased/>
  <w15:docId w15:val="{2FCB3B03-D0D0-4844-9EEC-7FDE8B4D7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BC9"/>
  </w:style>
  <w:style w:type="paragraph" w:styleId="Ttulo1">
    <w:name w:val="heading 1"/>
    <w:basedOn w:val="Normal"/>
    <w:next w:val="Normal"/>
    <w:link w:val="Ttulo1Car"/>
    <w:uiPriority w:val="9"/>
    <w:qFormat/>
    <w:rsid w:val="006569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569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5693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5693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5693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5693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5693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5693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5693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693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5693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5693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5693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5693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5693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5693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5693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56930"/>
    <w:rPr>
      <w:rFonts w:eastAsiaTheme="majorEastAsia" w:cstheme="majorBidi"/>
      <w:color w:val="272727" w:themeColor="text1" w:themeTint="D8"/>
    </w:rPr>
  </w:style>
  <w:style w:type="paragraph" w:styleId="Ttulo">
    <w:name w:val="Title"/>
    <w:basedOn w:val="Normal"/>
    <w:next w:val="Normal"/>
    <w:link w:val="TtuloCar"/>
    <w:uiPriority w:val="10"/>
    <w:qFormat/>
    <w:rsid w:val="006569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69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5693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5693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56930"/>
    <w:pPr>
      <w:spacing w:before="160"/>
      <w:jc w:val="center"/>
    </w:pPr>
    <w:rPr>
      <w:i/>
      <w:iCs/>
      <w:color w:val="404040" w:themeColor="text1" w:themeTint="BF"/>
    </w:rPr>
  </w:style>
  <w:style w:type="character" w:customStyle="1" w:styleId="CitaCar">
    <w:name w:val="Cita Car"/>
    <w:basedOn w:val="Fuentedeprrafopredeter"/>
    <w:link w:val="Cita"/>
    <w:uiPriority w:val="29"/>
    <w:rsid w:val="00656930"/>
    <w:rPr>
      <w:i/>
      <w:iCs/>
      <w:color w:val="404040" w:themeColor="text1" w:themeTint="BF"/>
    </w:rPr>
  </w:style>
  <w:style w:type="paragraph" w:styleId="Prrafodelista">
    <w:name w:val="List Paragraph"/>
    <w:basedOn w:val="Normal"/>
    <w:uiPriority w:val="34"/>
    <w:qFormat/>
    <w:rsid w:val="00656930"/>
    <w:pPr>
      <w:ind w:left="720"/>
      <w:contextualSpacing/>
    </w:pPr>
  </w:style>
  <w:style w:type="character" w:styleId="nfasisintenso">
    <w:name w:val="Intense Emphasis"/>
    <w:basedOn w:val="Fuentedeprrafopredeter"/>
    <w:uiPriority w:val="21"/>
    <w:qFormat/>
    <w:rsid w:val="00656930"/>
    <w:rPr>
      <w:i/>
      <w:iCs/>
      <w:color w:val="0F4761" w:themeColor="accent1" w:themeShade="BF"/>
    </w:rPr>
  </w:style>
  <w:style w:type="paragraph" w:styleId="Citadestacada">
    <w:name w:val="Intense Quote"/>
    <w:basedOn w:val="Normal"/>
    <w:next w:val="Normal"/>
    <w:link w:val="CitadestacadaCar"/>
    <w:uiPriority w:val="30"/>
    <w:qFormat/>
    <w:rsid w:val="006569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56930"/>
    <w:rPr>
      <w:i/>
      <w:iCs/>
      <w:color w:val="0F4761" w:themeColor="accent1" w:themeShade="BF"/>
    </w:rPr>
  </w:style>
  <w:style w:type="character" w:styleId="Referenciaintensa">
    <w:name w:val="Intense Reference"/>
    <w:basedOn w:val="Fuentedeprrafopredeter"/>
    <w:uiPriority w:val="32"/>
    <w:qFormat/>
    <w:rsid w:val="00656930"/>
    <w:rPr>
      <w:b/>
      <w:bCs/>
      <w:smallCaps/>
      <w:color w:val="0F4761" w:themeColor="accent1" w:themeShade="BF"/>
      <w:spacing w:val="5"/>
    </w:rPr>
  </w:style>
  <w:style w:type="character" w:styleId="Refdecomentario">
    <w:name w:val="annotation reference"/>
    <w:basedOn w:val="Fuentedeprrafopredeter"/>
    <w:uiPriority w:val="99"/>
    <w:semiHidden/>
    <w:unhideWhenUsed/>
    <w:rsid w:val="00CE2079"/>
    <w:rPr>
      <w:sz w:val="16"/>
      <w:szCs w:val="16"/>
    </w:rPr>
  </w:style>
  <w:style w:type="paragraph" w:styleId="Textocomentario">
    <w:name w:val="annotation text"/>
    <w:basedOn w:val="Normal"/>
    <w:link w:val="TextocomentarioCar"/>
    <w:uiPriority w:val="99"/>
    <w:unhideWhenUsed/>
    <w:rsid w:val="00CE2079"/>
    <w:pPr>
      <w:spacing w:line="240" w:lineRule="auto"/>
    </w:pPr>
    <w:rPr>
      <w:sz w:val="20"/>
      <w:szCs w:val="20"/>
    </w:rPr>
  </w:style>
  <w:style w:type="character" w:customStyle="1" w:styleId="TextocomentarioCar">
    <w:name w:val="Texto comentario Car"/>
    <w:basedOn w:val="Fuentedeprrafopredeter"/>
    <w:link w:val="Textocomentario"/>
    <w:uiPriority w:val="99"/>
    <w:rsid w:val="00CE2079"/>
    <w:rPr>
      <w:sz w:val="20"/>
      <w:szCs w:val="20"/>
    </w:rPr>
  </w:style>
  <w:style w:type="paragraph" w:styleId="Asuntodelcomentario">
    <w:name w:val="annotation subject"/>
    <w:basedOn w:val="Textocomentario"/>
    <w:next w:val="Textocomentario"/>
    <w:link w:val="AsuntodelcomentarioCar"/>
    <w:uiPriority w:val="99"/>
    <w:semiHidden/>
    <w:unhideWhenUsed/>
    <w:rsid w:val="00CE2079"/>
    <w:rPr>
      <w:b/>
      <w:bCs/>
    </w:rPr>
  </w:style>
  <w:style w:type="character" w:customStyle="1" w:styleId="AsuntodelcomentarioCar">
    <w:name w:val="Asunto del comentario Car"/>
    <w:basedOn w:val="TextocomentarioCar"/>
    <w:link w:val="Asuntodelcomentario"/>
    <w:uiPriority w:val="99"/>
    <w:semiHidden/>
    <w:rsid w:val="00CE2079"/>
    <w:rPr>
      <w:b/>
      <w:bCs/>
      <w:sz w:val="20"/>
      <w:szCs w:val="20"/>
    </w:rPr>
  </w:style>
  <w:style w:type="character" w:styleId="Hipervnculo">
    <w:name w:val="Hyperlink"/>
    <w:basedOn w:val="Fuentedeprrafopredeter"/>
    <w:uiPriority w:val="99"/>
    <w:unhideWhenUsed/>
    <w:rsid w:val="00F3038A"/>
    <w:rPr>
      <w:color w:val="467886" w:themeColor="hyperlink"/>
      <w:u w:val="single"/>
    </w:rPr>
  </w:style>
  <w:style w:type="character" w:customStyle="1" w:styleId="Mencinsinresolver1">
    <w:name w:val="Mención sin resolver1"/>
    <w:basedOn w:val="Fuentedeprrafopredeter"/>
    <w:uiPriority w:val="99"/>
    <w:semiHidden/>
    <w:unhideWhenUsed/>
    <w:rsid w:val="00F3038A"/>
    <w:rPr>
      <w:color w:val="605E5C"/>
      <w:shd w:val="clear" w:color="auto" w:fill="E1DFDD"/>
    </w:rPr>
  </w:style>
  <w:style w:type="paragraph" w:styleId="Descripcin">
    <w:name w:val="caption"/>
    <w:basedOn w:val="Normal"/>
    <w:next w:val="Normal"/>
    <w:uiPriority w:val="35"/>
    <w:unhideWhenUsed/>
    <w:qFormat/>
    <w:rsid w:val="00B7358D"/>
    <w:pPr>
      <w:spacing w:after="200" w:line="240" w:lineRule="auto"/>
    </w:pPr>
    <w:rPr>
      <w:i/>
      <w:iCs/>
      <w:color w:val="0E2841" w:themeColor="text2"/>
      <w:sz w:val="18"/>
      <w:szCs w:val="18"/>
    </w:rPr>
  </w:style>
  <w:style w:type="character" w:styleId="nfasis">
    <w:name w:val="Emphasis"/>
    <w:basedOn w:val="Fuentedeprrafopredeter"/>
    <w:uiPriority w:val="20"/>
    <w:qFormat/>
    <w:rsid w:val="001C43CB"/>
    <w:rPr>
      <w:i/>
      <w:iCs/>
    </w:rPr>
  </w:style>
  <w:style w:type="character" w:styleId="Textoennegrita">
    <w:name w:val="Strong"/>
    <w:basedOn w:val="Fuentedeprrafopredeter"/>
    <w:uiPriority w:val="22"/>
    <w:qFormat/>
    <w:rsid w:val="001C43CB"/>
    <w:rPr>
      <w:b/>
      <w:bCs/>
    </w:rPr>
  </w:style>
  <w:style w:type="paragraph" w:styleId="NormalWeb">
    <w:name w:val="Normal (Web)"/>
    <w:basedOn w:val="Normal"/>
    <w:uiPriority w:val="99"/>
    <w:unhideWhenUsed/>
    <w:rsid w:val="001C43CB"/>
    <w:pPr>
      <w:widowControl w:val="0"/>
      <w:autoSpaceDE w:val="0"/>
      <w:autoSpaceDN w:val="0"/>
      <w:spacing w:before="100" w:beforeAutospacing="1" w:after="100" w:afterAutospacing="1" w:line="240" w:lineRule="auto"/>
    </w:pPr>
    <w:rPr>
      <w:rFonts w:ascii="Times New Roman" w:eastAsia="Times New Roman" w:hAnsi="Times New Roman" w:cs="Times New Roman"/>
      <w:kern w:val="0"/>
      <w:sz w:val="24"/>
      <w:szCs w:val="24"/>
      <w:lang w:val="es-ES" w:eastAsia="es-MX"/>
      <w14:ligatures w14:val="none"/>
    </w:rPr>
  </w:style>
  <w:style w:type="character" w:styleId="Hipervnculovisitado">
    <w:name w:val="FollowedHyperlink"/>
    <w:basedOn w:val="Fuentedeprrafopredeter"/>
    <w:uiPriority w:val="99"/>
    <w:semiHidden/>
    <w:unhideWhenUsed/>
    <w:rsid w:val="00AA55CF"/>
    <w:rPr>
      <w:color w:val="96607D" w:themeColor="followedHyperlink"/>
      <w:u w:val="single"/>
    </w:rPr>
  </w:style>
  <w:style w:type="paragraph" w:styleId="Encabezado">
    <w:name w:val="header"/>
    <w:basedOn w:val="Normal"/>
    <w:link w:val="EncabezadoCar"/>
    <w:uiPriority w:val="99"/>
    <w:unhideWhenUsed/>
    <w:rsid w:val="00617D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7DF3"/>
  </w:style>
  <w:style w:type="paragraph" w:styleId="Piedepgina">
    <w:name w:val="footer"/>
    <w:basedOn w:val="Normal"/>
    <w:link w:val="PiedepginaCar"/>
    <w:uiPriority w:val="99"/>
    <w:unhideWhenUsed/>
    <w:rsid w:val="00617D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7DF3"/>
  </w:style>
  <w:style w:type="paragraph" w:styleId="Revisin">
    <w:name w:val="Revision"/>
    <w:hidden/>
    <w:uiPriority w:val="99"/>
    <w:semiHidden/>
    <w:rsid w:val="0061135D"/>
    <w:pPr>
      <w:spacing w:after="0" w:line="240" w:lineRule="auto"/>
    </w:pPr>
  </w:style>
  <w:style w:type="paragraph" w:styleId="Textodeglobo">
    <w:name w:val="Balloon Text"/>
    <w:basedOn w:val="Normal"/>
    <w:link w:val="TextodegloboCar"/>
    <w:uiPriority w:val="99"/>
    <w:semiHidden/>
    <w:unhideWhenUsed/>
    <w:rsid w:val="006113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13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3913/ride.v14i28.1783" TargetMode="External"/><Relationship Id="rId18" Type="http://schemas.openxmlformats.org/officeDocument/2006/relationships/hyperlink" Target="https://doi.org/10.1186/s40708-024-00229-8" TargetMode="External"/><Relationship Id="rId26" Type="http://schemas.openxmlformats.org/officeDocument/2006/relationships/hyperlink" Target="https://doi.org/10.1111/mbe.12239" TargetMode="External"/><Relationship Id="rId3" Type="http://schemas.openxmlformats.org/officeDocument/2006/relationships/styles" Target="styles.xml"/><Relationship Id="rId21" Type="http://schemas.openxmlformats.org/officeDocument/2006/relationships/hyperlink" Target="https://doi.org/10.1080/17543266.2020.1784254" TargetMode="External"/><Relationship Id="rId7" Type="http://schemas.openxmlformats.org/officeDocument/2006/relationships/endnotes" Target="endnotes.xml"/><Relationship Id="rId12" Type="http://schemas.openxmlformats.org/officeDocument/2006/relationships/hyperlink" Target="https://doi.org/10.3389/fnins.2020.594566" TargetMode="External"/><Relationship Id="rId17" Type="http://schemas.openxmlformats.org/officeDocument/2006/relationships/hyperlink" Target="https://doi.org/10.1002/cb.1710" TargetMode="External"/><Relationship Id="rId25" Type="http://schemas.openxmlformats.org/officeDocument/2006/relationships/hyperlink" Target="https://doi.org/10.3390/s21206904" TargetMode="External"/><Relationship Id="rId2" Type="http://schemas.openxmlformats.org/officeDocument/2006/relationships/numbering" Target="numbering.xml"/><Relationship Id="rId16" Type="http://schemas.openxmlformats.org/officeDocument/2006/relationships/hyperlink" Target="https://doi.org/10.1177/0273475300221005" TargetMode="External"/><Relationship Id="rId20" Type="http://schemas.openxmlformats.org/officeDocument/2006/relationships/hyperlink" Target="https://doi.org/10.1080/10528008.2020.184336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su15054603" TargetMode="External"/><Relationship Id="rId24" Type="http://schemas.openxmlformats.org/officeDocument/2006/relationships/hyperlink" Target="https://doi.org/10.1177/14707853221112622" TargetMode="External"/><Relationship Id="rId5" Type="http://schemas.openxmlformats.org/officeDocument/2006/relationships/webSettings" Target="webSettings.xml"/><Relationship Id="rId15" Type="http://schemas.openxmlformats.org/officeDocument/2006/relationships/hyperlink" Target="https://doi.org/10.1177/0273475317753679" TargetMode="External"/><Relationship Id="rId23" Type="http://schemas.openxmlformats.org/officeDocument/2006/relationships/hyperlink" Target="https://doi.org/10.23913/ride.v15i30.2318" TargetMode="External"/><Relationship Id="rId28" Type="http://schemas.openxmlformats.org/officeDocument/2006/relationships/fontTable" Target="fontTable.xml"/><Relationship Id="rId10" Type="http://schemas.openxmlformats.org/officeDocument/2006/relationships/hyperlink" Target="http://doi.org/10.15405/epsbs.2018.02.1" TargetMode="External"/><Relationship Id="rId19" Type="http://schemas.openxmlformats.org/officeDocument/2006/relationships/hyperlink" Target="https://doi.org/10.5465/amle.2005.17268566"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1007/s10639-022-11486-7" TargetMode="External"/><Relationship Id="rId22" Type="http://schemas.openxmlformats.org/officeDocument/2006/relationships/hyperlink" Target="https://doi.org/10.1016/j.jbusres.2018.05.036" TargetMode="Externa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8059762a7f6ce157/CVE/Retailing/Retail%20Research/CENID%20Congreso/NeuroMKT/NeuroMKT-CTES%20Result%20SPSS%20ChatGPT%20106%20par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Hoja2!$C$93:$C$98</c:f>
                <c:numCache>
                  <c:formatCode>General</c:formatCode>
                  <c:ptCount val="6"/>
                  <c:pt idx="0">
                    <c:v>0.11700000000000001</c:v>
                  </c:pt>
                  <c:pt idx="1">
                    <c:v>0.10199999999999999</c:v>
                  </c:pt>
                  <c:pt idx="2">
                    <c:v>0.1</c:v>
                  </c:pt>
                  <c:pt idx="3">
                    <c:v>9.0999999999999998E-2</c:v>
                  </c:pt>
                  <c:pt idx="4">
                    <c:v>9.1999999999999998E-2</c:v>
                  </c:pt>
                  <c:pt idx="5">
                    <c:v>8.6999999999999994E-2</c:v>
                  </c:pt>
                </c:numCache>
              </c:numRef>
            </c:plus>
            <c:minus>
              <c:numRef>
                <c:f>Hoja2!$C$93:$C$98</c:f>
                <c:numCache>
                  <c:formatCode>General</c:formatCode>
                  <c:ptCount val="6"/>
                  <c:pt idx="0">
                    <c:v>0.11700000000000001</c:v>
                  </c:pt>
                  <c:pt idx="1">
                    <c:v>0.10199999999999999</c:v>
                  </c:pt>
                  <c:pt idx="2">
                    <c:v>0.1</c:v>
                  </c:pt>
                  <c:pt idx="3">
                    <c:v>9.0999999999999998E-2</c:v>
                  </c:pt>
                  <c:pt idx="4">
                    <c:v>9.1999999999999998E-2</c:v>
                  </c:pt>
                  <c:pt idx="5">
                    <c:v>8.6999999999999994E-2</c:v>
                  </c:pt>
                </c:numCache>
              </c:numRef>
            </c:minus>
            <c:spPr>
              <a:noFill/>
              <a:ln w="9525" cap="flat" cmpd="sng" algn="ctr">
                <a:solidFill>
                  <a:schemeClr val="tx1">
                    <a:lumMod val="65000"/>
                    <a:lumOff val="35000"/>
                  </a:schemeClr>
                </a:solidFill>
                <a:round/>
              </a:ln>
              <a:effectLst/>
            </c:spPr>
          </c:errBars>
          <c:cat>
            <c:strRef>
              <c:f>Hoja2!$A$93:$A$98</c:f>
              <c:strCache>
                <c:ptCount val="6"/>
                <c:pt idx="0">
                  <c:v>Recordación</c:v>
                </c:pt>
                <c:pt idx="1">
                  <c:v>Comprensión</c:v>
                </c:pt>
                <c:pt idx="2">
                  <c:v>Aplicación</c:v>
                </c:pt>
                <c:pt idx="3">
                  <c:v>Análisis</c:v>
                </c:pt>
                <c:pt idx="4">
                  <c:v>Evaluación</c:v>
                </c:pt>
                <c:pt idx="5">
                  <c:v>Creación</c:v>
                </c:pt>
              </c:strCache>
            </c:strRef>
          </c:cat>
          <c:val>
            <c:numRef>
              <c:f>Hoja2!$B$93:$B$98</c:f>
              <c:numCache>
                <c:formatCode>0.00</c:formatCode>
                <c:ptCount val="6"/>
                <c:pt idx="0">
                  <c:v>5.4530000000000003</c:v>
                </c:pt>
                <c:pt idx="1">
                  <c:v>5.7640000000000002</c:v>
                </c:pt>
                <c:pt idx="2">
                  <c:v>6.0090000000000003</c:v>
                </c:pt>
                <c:pt idx="3">
                  <c:v>6.1790000000000003</c:v>
                </c:pt>
                <c:pt idx="4">
                  <c:v>6.1509999999999998</c:v>
                </c:pt>
                <c:pt idx="5">
                  <c:v>6.16</c:v>
                </c:pt>
              </c:numCache>
            </c:numRef>
          </c:val>
          <c:smooth val="0"/>
          <c:extLst>
            <c:ext xmlns:c16="http://schemas.microsoft.com/office/drawing/2014/chart" uri="{C3380CC4-5D6E-409C-BE32-E72D297353CC}">
              <c16:uniqueId val="{00000000-B358-4F7F-B7BB-CB2475E73291}"/>
            </c:ext>
          </c:extLst>
        </c:ser>
        <c:dLbls>
          <c:showLegendKey val="0"/>
          <c:showVal val="0"/>
          <c:showCatName val="0"/>
          <c:showSerName val="0"/>
          <c:showPercent val="0"/>
          <c:showBubbleSize val="0"/>
        </c:dLbls>
        <c:marker val="1"/>
        <c:smooth val="0"/>
        <c:axId val="452931888"/>
        <c:axId val="452930320"/>
      </c:lineChart>
      <c:catAx>
        <c:axId val="452931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452930320"/>
        <c:crosses val="autoZero"/>
        <c:auto val="1"/>
        <c:lblAlgn val="ctr"/>
        <c:lblOffset val="100"/>
        <c:noMultiLvlLbl val="0"/>
      </c:catAx>
      <c:valAx>
        <c:axId val="452930320"/>
        <c:scaling>
          <c:orientation val="minMax"/>
          <c:max val="6.4"/>
          <c:min val="4.8"/>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0"/>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4529318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E1A96-0A9A-48BC-82A2-6D26A20B9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1</Pages>
  <Words>4017</Words>
  <Characters>22098</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Dolores Franco Valdez</dc:creator>
  <cp:keywords/>
  <dc:description/>
  <cp:lastModifiedBy>Francisco Santillán Campos</cp:lastModifiedBy>
  <cp:revision>10</cp:revision>
  <cp:lastPrinted>2025-12-13T17:32:00Z</cp:lastPrinted>
  <dcterms:created xsi:type="dcterms:W3CDTF">2025-11-15T13:42:00Z</dcterms:created>
  <dcterms:modified xsi:type="dcterms:W3CDTF">2025-12-13T17:35:00Z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91da64dd-978b-4a24-b88f-8058a17721bc</vt:lpwstr>
  </property>
</Properties>
</file>