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6A85604F" w:rsidR="00FB3F3A" w:rsidRDefault="00043DE0">
      <w:r w:rsidRPr="00F052B3">
        <w:rPr>
          <w:noProof/>
        </w:rPr>
        <w:drawing>
          <wp:anchor distT="0" distB="0" distL="114300" distR="114300" simplePos="0" relativeHeight="251659264" behindDoc="0" locked="0" layoutInCell="1" allowOverlap="1" wp14:anchorId="19CCA36C" wp14:editId="0409B8E3">
            <wp:simplePos x="0" y="0"/>
            <wp:positionH relativeFrom="page">
              <wp:align>left</wp:align>
            </wp:positionH>
            <wp:positionV relativeFrom="paragraph">
              <wp:posOffset>-690245</wp:posOffset>
            </wp:positionV>
            <wp:extent cx="7772400" cy="1047750"/>
            <wp:effectExtent l="0" t="0" r="0"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AD3F4C" w:rsidRDefault="00AD3F4C" w:rsidP="00AD3F4C"/>
    <w:p w14:paraId="7E14B22A" w14:textId="77777777" w:rsidR="00AD3F4C" w:rsidRDefault="00AD3F4C" w:rsidP="00AD3F4C">
      <w:pPr>
        <w:spacing w:before="240" w:line="360" w:lineRule="auto"/>
        <w:jc w:val="right"/>
        <w:rPr>
          <w:rFonts w:ascii="Times New Roman" w:eastAsia="Times New Roman" w:hAnsi="Times New Roman" w:cs="Times New Roman"/>
          <w:b/>
          <w:sz w:val="32"/>
          <w:szCs w:val="32"/>
        </w:rPr>
      </w:pPr>
      <w:r>
        <w:tab/>
      </w:r>
      <w:r w:rsidRPr="003F3177">
        <w:rPr>
          <w:rFonts w:ascii="Times New Roman" w:hAnsi="Times New Roman" w:cs="Times New Roman"/>
          <w:b/>
          <w:bCs/>
          <w:i/>
          <w:iCs/>
        </w:rPr>
        <w:t>Artículos científicos</w:t>
      </w:r>
    </w:p>
    <w:p w14:paraId="62412D15" w14:textId="77777777" w:rsidR="00AF5455" w:rsidRPr="003E5A64" w:rsidRDefault="00AF5455" w:rsidP="001E357C">
      <w:pPr>
        <w:tabs>
          <w:tab w:val="left" w:pos="6330"/>
        </w:tabs>
        <w:spacing w:after="0" w:line="240" w:lineRule="auto"/>
        <w:rPr>
          <w:rFonts w:ascii="Times New Roman" w:hAnsi="Times New Roman" w:cs="Times New Roman"/>
          <w:b/>
          <w:sz w:val="28"/>
          <w:szCs w:val="28"/>
        </w:rPr>
      </w:pPr>
      <w:r w:rsidRPr="003E5A64">
        <w:rPr>
          <w:rFonts w:ascii="Times New Roman" w:hAnsi="Times New Roman" w:cs="Times New Roman"/>
          <w:b/>
          <w:sz w:val="28"/>
          <w:szCs w:val="28"/>
        </w:rPr>
        <w:t>Evaluar el pensamiento crítico en la era de la IA: construcción y validación de una escala de disposiciones en contextos educativos mediados por IAG</w:t>
      </w:r>
    </w:p>
    <w:p w14:paraId="796B6CD8" w14:textId="77777777" w:rsidR="00AF5455" w:rsidRDefault="00AF5455" w:rsidP="001E357C">
      <w:pPr>
        <w:tabs>
          <w:tab w:val="left" w:pos="6330"/>
        </w:tabs>
        <w:spacing w:after="0" w:line="240" w:lineRule="auto"/>
        <w:rPr>
          <w:rFonts w:ascii="Times New Roman" w:hAnsi="Times New Roman" w:cs="Times New Roman"/>
          <w:bCs/>
          <w:i/>
          <w:iCs/>
        </w:rPr>
      </w:pPr>
      <w:proofErr w:type="spellStart"/>
      <w:r w:rsidRPr="003E5A64">
        <w:rPr>
          <w:rFonts w:ascii="Times New Roman" w:hAnsi="Times New Roman" w:cs="Times New Roman"/>
          <w:bCs/>
          <w:i/>
          <w:iCs/>
        </w:rPr>
        <w:t>Evaluating</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Critical</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Thinking</w:t>
      </w:r>
      <w:proofErr w:type="spellEnd"/>
      <w:r w:rsidRPr="003E5A64">
        <w:rPr>
          <w:rFonts w:ascii="Times New Roman" w:hAnsi="Times New Roman" w:cs="Times New Roman"/>
          <w:bCs/>
          <w:i/>
          <w:iCs/>
        </w:rPr>
        <w:t xml:space="preserve"> in </w:t>
      </w:r>
      <w:proofErr w:type="spellStart"/>
      <w:r w:rsidRPr="003E5A64">
        <w:rPr>
          <w:rFonts w:ascii="Times New Roman" w:hAnsi="Times New Roman" w:cs="Times New Roman"/>
          <w:bCs/>
          <w:i/>
          <w:iCs/>
        </w:rPr>
        <w:t>the</w:t>
      </w:r>
      <w:proofErr w:type="spellEnd"/>
      <w:r w:rsidRPr="003E5A64">
        <w:rPr>
          <w:rFonts w:ascii="Times New Roman" w:hAnsi="Times New Roman" w:cs="Times New Roman"/>
          <w:bCs/>
          <w:i/>
          <w:iCs/>
        </w:rPr>
        <w:t xml:space="preserve"> Age </w:t>
      </w:r>
      <w:proofErr w:type="spellStart"/>
      <w:r w:rsidRPr="003E5A64">
        <w:rPr>
          <w:rFonts w:ascii="Times New Roman" w:hAnsi="Times New Roman" w:cs="Times New Roman"/>
          <w:bCs/>
          <w:i/>
          <w:iCs/>
        </w:rPr>
        <w:t>of</w:t>
      </w:r>
      <w:proofErr w:type="spellEnd"/>
      <w:r w:rsidRPr="003E5A64">
        <w:rPr>
          <w:rFonts w:ascii="Times New Roman" w:hAnsi="Times New Roman" w:cs="Times New Roman"/>
          <w:bCs/>
          <w:i/>
          <w:iCs/>
        </w:rPr>
        <w:t xml:space="preserve"> AI: </w:t>
      </w:r>
      <w:proofErr w:type="spellStart"/>
      <w:r w:rsidRPr="003E5A64">
        <w:rPr>
          <w:rFonts w:ascii="Times New Roman" w:hAnsi="Times New Roman" w:cs="Times New Roman"/>
          <w:bCs/>
          <w:i/>
          <w:iCs/>
        </w:rPr>
        <w:t>Construction</w:t>
      </w:r>
      <w:proofErr w:type="spellEnd"/>
      <w:r w:rsidRPr="003E5A64">
        <w:rPr>
          <w:rFonts w:ascii="Times New Roman" w:hAnsi="Times New Roman" w:cs="Times New Roman"/>
          <w:bCs/>
          <w:i/>
          <w:iCs/>
        </w:rPr>
        <w:t xml:space="preserve"> and </w:t>
      </w:r>
      <w:proofErr w:type="spellStart"/>
      <w:r w:rsidRPr="003E5A64">
        <w:rPr>
          <w:rFonts w:ascii="Times New Roman" w:hAnsi="Times New Roman" w:cs="Times New Roman"/>
          <w:bCs/>
          <w:i/>
          <w:iCs/>
        </w:rPr>
        <w:t>Validation</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of</w:t>
      </w:r>
      <w:proofErr w:type="spellEnd"/>
      <w:r w:rsidRPr="003E5A64">
        <w:rPr>
          <w:rFonts w:ascii="Times New Roman" w:hAnsi="Times New Roman" w:cs="Times New Roman"/>
          <w:bCs/>
          <w:i/>
          <w:iCs/>
        </w:rPr>
        <w:t xml:space="preserve"> a </w:t>
      </w:r>
      <w:proofErr w:type="spellStart"/>
      <w:r w:rsidRPr="003E5A64">
        <w:rPr>
          <w:rFonts w:ascii="Times New Roman" w:hAnsi="Times New Roman" w:cs="Times New Roman"/>
          <w:bCs/>
          <w:i/>
          <w:iCs/>
        </w:rPr>
        <w:t>Disposition</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Scale</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for</w:t>
      </w:r>
      <w:proofErr w:type="spellEnd"/>
      <w:r w:rsidRPr="003E5A64">
        <w:rPr>
          <w:rFonts w:ascii="Times New Roman" w:hAnsi="Times New Roman" w:cs="Times New Roman"/>
          <w:bCs/>
          <w:i/>
          <w:iCs/>
        </w:rPr>
        <w:t xml:space="preserve"> GAI-</w:t>
      </w:r>
      <w:proofErr w:type="spellStart"/>
      <w:r w:rsidRPr="003E5A64">
        <w:rPr>
          <w:rFonts w:ascii="Times New Roman" w:hAnsi="Times New Roman" w:cs="Times New Roman"/>
          <w:bCs/>
          <w:i/>
          <w:iCs/>
        </w:rPr>
        <w:t>Mediated</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Educational</w:t>
      </w:r>
      <w:proofErr w:type="spellEnd"/>
      <w:r w:rsidRPr="003E5A64">
        <w:rPr>
          <w:rFonts w:ascii="Times New Roman" w:hAnsi="Times New Roman" w:cs="Times New Roman"/>
          <w:bCs/>
          <w:i/>
          <w:iCs/>
        </w:rPr>
        <w:t xml:space="preserve"> </w:t>
      </w:r>
      <w:proofErr w:type="spellStart"/>
      <w:r w:rsidRPr="003E5A64">
        <w:rPr>
          <w:rFonts w:ascii="Times New Roman" w:hAnsi="Times New Roman" w:cs="Times New Roman"/>
          <w:bCs/>
          <w:i/>
          <w:iCs/>
        </w:rPr>
        <w:t>Contexts</w:t>
      </w:r>
      <w:proofErr w:type="spellEnd"/>
    </w:p>
    <w:p w14:paraId="143A599C" w14:textId="77777777" w:rsidR="003E5A64" w:rsidRDefault="003E5A64" w:rsidP="001E357C">
      <w:pPr>
        <w:tabs>
          <w:tab w:val="left" w:pos="6330"/>
        </w:tabs>
        <w:spacing w:after="0" w:line="240" w:lineRule="auto"/>
        <w:rPr>
          <w:rFonts w:ascii="Times New Roman" w:hAnsi="Times New Roman" w:cs="Times New Roman"/>
          <w:bCs/>
          <w:i/>
          <w:iCs/>
        </w:rPr>
      </w:pPr>
    </w:p>
    <w:p w14:paraId="009F27B3" w14:textId="77777777" w:rsidR="003E5A64" w:rsidRPr="003E5A64" w:rsidRDefault="003E5A64" w:rsidP="001E357C">
      <w:pPr>
        <w:tabs>
          <w:tab w:val="left" w:pos="6330"/>
        </w:tabs>
        <w:spacing w:after="0" w:line="240" w:lineRule="auto"/>
        <w:rPr>
          <w:rFonts w:ascii="Times New Roman" w:hAnsi="Times New Roman" w:cs="Times New Roman"/>
          <w:bCs/>
          <w:i/>
          <w:iCs/>
        </w:rPr>
      </w:pPr>
    </w:p>
    <w:p w14:paraId="293BA217" w14:textId="30BAC65A" w:rsidR="00AF5455" w:rsidRPr="003E5A64" w:rsidRDefault="00AF5455" w:rsidP="003E5A64">
      <w:pPr>
        <w:tabs>
          <w:tab w:val="left" w:pos="6330"/>
        </w:tabs>
        <w:spacing w:after="0" w:line="240" w:lineRule="auto"/>
        <w:jc w:val="right"/>
        <w:rPr>
          <w:rFonts w:ascii="Times New Roman" w:hAnsi="Times New Roman" w:cs="Times New Roman"/>
        </w:rPr>
      </w:pPr>
      <w:r w:rsidRPr="003E5A64">
        <w:rPr>
          <w:rFonts w:ascii="Times New Roman" w:hAnsi="Times New Roman" w:cs="Times New Roman"/>
          <w:b/>
          <w:bCs/>
        </w:rPr>
        <w:t>Mónica del Rocío Rodríguez Sánchez</w:t>
      </w:r>
      <w:r w:rsidRPr="003E5A64">
        <w:rPr>
          <w:rFonts w:ascii="Times New Roman" w:hAnsi="Times New Roman" w:cs="Times New Roman"/>
        </w:rPr>
        <w:br/>
        <w:t>Universidad Autónoma de Querétaro</w:t>
      </w:r>
      <w:r w:rsidR="003E5A64" w:rsidRPr="003E5A64">
        <w:rPr>
          <w:rFonts w:ascii="Times New Roman" w:hAnsi="Times New Roman" w:cs="Times New Roman"/>
        </w:rPr>
        <w:t xml:space="preserve"> </w:t>
      </w:r>
      <w:r w:rsidRPr="003E5A64">
        <w:rPr>
          <w:rFonts w:ascii="Times New Roman" w:hAnsi="Times New Roman" w:cs="Times New Roman"/>
        </w:rPr>
        <w:br/>
      </w:r>
      <w:r w:rsidRPr="003E5A64">
        <w:rPr>
          <w:rFonts w:ascii="Times New Roman" w:hAnsi="Times New Roman" w:cs="Times New Roman"/>
          <w:color w:val="EE0000"/>
        </w:rPr>
        <w:t>mrrs_90@hotmail.com</w:t>
      </w:r>
      <w:r w:rsidRPr="003E5A64">
        <w:rPr>
          <w:rFonts w:ascii="Times New Roman" w:hAnsi="Times New Roman" w:cs="Times New Roman"/>
        </w:rPr>
        <w:br/>
      </w:r>
      <w:hyperlink r:id="rId8" w:history="1">
        <w:r w:rsidR="003E5A64" w:rsidRPr="003E5A64">
          <w:rPr>
            <w:rStyle w:val="Hipervnculo"/>
            <w:rFonts w:ascii="Times New Roman" w:hAnsi="Times New Roman" w:cs="Times New Roman"/>
            <w:color w:val="auto"/>
            <w:u w:val="none"/>
          </w:rPr>
          <w:t>https://orcid.org/0009-0008-5247-9523</w:t>
        </w:r>
      </w:hyperlink>
    </w:p>
    <w:p w14:paraId="19E43452" w14:textId="77777777" w:rsidR="003E5A64" w:rsidRDefault="003E5A64" w:rsidP="001E357C">
      <w:pPr>
        <w:tabs>
          <w:tab w:val="left" w:pos="6330"/>
        </w:tabs>
        <w:spacing w:after="0" w:line="240" w:lineRule="auto"/>
        <w:rPr>
          <w:rFonts w:ascii="Times New Roman" w:hAnsi="Times New Roman" w:cs="Times New Roman"/>
        </w:rPr>
      </w:pPr>
    </w:p>
    <w:p w14:paraId="2649180C" w14:textId="77777777" w:rsidR="003E5A64" w:rsidRPr="001E357C" w:rsidRDefault="003E5A64" w:rsidP="001E357C">
      <w:pPr>
        <w:tabs>
          <w:tab w:val="left" w:pos="6330"/>
        </w:tabs>
        <w:spacing w:after="0" w:line="240" w:lineRule="auto"/>
        <w:rPr>
          <w:rFonts w:ascii="Times New Roman" w:hAnsi="Times New Roman" w:cs="Times New Roman"/>
        </w:rPr>
      </w:pPr>
    </w:p>
    <w:p w14:paraId="6FC61D80" w14:textId="77777777" w:rsidR="00AF5455" w:rsidRPr="001E357C" w:rsidRDefault="00AF5455" w:rsidP="003E5A64">
      <w:pPr>
        <w:tabs>
          <w:tab w:val="left" w:pos="6330"/>
        </w:tabs>
        <w:spacing w:after="0" w:line="240" w:lineRule="auto"/>
        <w:jc w:val="both"/>
        <w:rPr>
          <w:rFonts w:ascii="Times New Roman" w:hAnsi="Times New Roman" w:cs="Times New Roman"/>
          <w:b/>
          <w:bCs/>
        </w:rPr>
      </w:pPr>
      <w:r w:rsidRPr="001E357C">
        <w:rPr>
          <w:rFonts w:ascii="Times New Roman" w:hAnsi="Times New Roman" w:cs="Times New Roman"/>
          <w:b/>
          <w:bCs/>
        </w:rPr>
        <w:t>Resumen</w:t>
      </w:r>
    </w:p>
    <w:p w14:paraId="278A72CD" w14:textId="7A180C90"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La incorporación de modelos de inteligencia artificial generativa (IAG) en la educación superior ha transformado las prácticas académicas, generando inquietudes sobre su impacto en el pensamiento crítico de los estudiantes. Ante este panorama, el estudio tuvo como objetivo construir y validar psicométricamente una escala para evaluar las disposiciones al pensamiento crítico en estudiantes universitarios que utilizan herramientas de IAG con fines académicos, tomando como base en el modelo de Ennis (1996). </w:t>
      </w:r>
      <w:r w:rsidR="003E5A64">
        <w:rPr>
          <w:rFonts w:ascii="Times New Roman" w:hAnsi="Times New Roman" w:cs="Times New Roman"/>
        </w:rPr>
        <w:t xml:space="preserve"> </w:t>
      </w:r>
      <w:r w:rsidRPr="001E357C">
        <w:rPr>
          <w:rFonts w:ascii="Times New Roman" w:hAnsi="Times New Roman" w:cs="Times New Roman"/>
        </w:rPr>
        <w:t>Se llevó a cabo un estudio cuantitativo con diseño instrumental. Se elaboró una versión inicial de 36 ítems, sometida a validación de contenido por juicio de expertos, obteniéndose un “Coeficiente de Validez de Contenido (CVC)” de .94. Posteriormente, la escala fue aplicada a una muestra de 176 estudiantes de licenciatura del área de Ciencias Sociales y Humanidades. Mediante un AFE por bloques, se reestructuraron las disposiciones al pensamiento crítico en cuatro factores emergentes con adecuada</w:t>
      </w:r>
      <w:r w:rsidRPr="001E357C">
        <w:rPr>
          <w:rFonts w:ascii="Times New Roman" w:hAnsi="Times New Roman" w:cs="Times New Roman"/>
          <w:b/>
          <w:bCs/>
        </w:rPr>
        <w:t xml:space="preserve"> </w:t>
      </w:r>
      <w:r w:rsidRPr="001E357C">
        <w:rPr>
          <w:rFonts w:ascii="Times New Roman" w:hAnsi="Times New Roman" w:cs="Times New Roman"/>
        </w:rPr>
        <w:t xml:space="preserve">consistencia interna: rigor en el proceso de indagación (α = .848), flexibilidad cognitiva (α = .778), pensamiento reflexivo contextualizado (α = .863) y evaluación crítica de la información (α = .887). </w:t>
      </w:r>
      <w:r w:rsidR="003E5A64">
        <w:rPr>
          <w:rFonts w:ascii="Times New Roman" w:hAnsi="Times New Roman" w:cs="Times New Roman"/>
        </w:rPr>
        <w:t xml:space="preserve"> </w:t>
      </w:r>
      <w:r w:rsidRPr="001E357C">
        <w:rPr>
          <w:rFonts w:ascii="Times New Roman" w:hAnsi="Times New Roman" w:cs="Times New Roman"/>
        </w:rPr>
        <w:t>El modelo final mostró cargas factoriales entre .63 y .86, una varianza explicada del 55.3% y un alfa de Cronbach global de .951 (IC 95 %: .937–.965). Los resultados confirmaron la validez estructural y la consistencia interna del instrumento, que se presenta como una herramienta confiable para el diagnóstico de disposiciones cognitivas frente al uso académico de la IAG. Su aplicación puede orientar prácticas formativas centradas en la reflexión crítica, la autonomía intelectual y el uso ético de tecnologías emergentes en la educación superior.</w:t>
      </w:r>
    </w:p>
    <w:p w14:paraId="607D1B9D" w14:textId="77777777" w:rsidR="003E5A64" w:rsidRPr="001E357C" w:rsidRDefault="003E5A64" w:rsidP="003E5A64">
      <w:pPr>
        <w:tabs>
          <w:tab w:val="left" w:pos="6330"/>
        </w:tabs>
        <w:spacing w:after="0" w:line="240" w:lineRule="auto"/>
        <w:jc w:val="both"/>
        <w:rPr>
          <w:rFonts w:ascii="Times New Roman" w:hAnsi="Times New Roman" w:cs="Times New Roman"/>
          <w:b/>
          <w:bCs/>
        </w:rPr>
      </w:pPr>
    </w:p>
    <w:p w14:paraId="0562D880"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b/>
        </w:rPr>
        <w:t>Palabras clave:</w:t>
      </w:r>
      <w:r w:rsidRPr="001E357C">
        <w:rPr>
          <w:rFonts w:ascii="Times New Roman" w:hAnsi="Times New Roman" w:cs="Times New Roman"/>
        </w:rPr>
        <w:t xml:space="preserve"> Validez de constructo, consistencia interna, diseño instrumental, juicio crítico, educación universitaria.</w:t>
      </w:r>
    </w:p>
    <w:p w14:paraId="23EDBD9B"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3C18588D" w14:textId="77777777" w:rsidR="00AF5455" w:rsidRPr="001E357C" w:rsidRDefault="00AF5455" w:rsidP="003E5A64">
      <w:pPr>
        <w:tabs>
          <w:tab w:val="left" w:pos="6330"/>
        </w:tabs>
        <w:spacing w:after="0" w:line="240" w:lineRule="auto"/>
        <w:jc w:val="both"/>
        <w:rPr>
          <w:rFonts w:ascii="Times New Roman" w:hAnsi="Times New Roman" w:cs="Times New Roman"/>
          <w:b/>
          <w:bCs/>
        </w:rPr>
      </w:pPr>
      <w:proofErr w:type="spellStart"/>
      <w:r w:rsidRPr="001E357C">
        <w:rPr>
          <w:rFonts w:ascii="Times New Roman" w:hAnsi="Times New Roman" w:cs="Times New Roman"/>
          <w:b/>
          <w:bCs/>
        </w:rPr>
        <w:t>Abstract</w:t>
      </w:r>
      <w:proofErr w:type="spellEnd"/>
    </w:p>
    <w:p w14:paraId="2AB95DCA" w14:textId="50E03F54" w:rsidR="00AF5455" w:rsidRDefault="00AF5455" w:rsidP="003E5A64">
      <w:pPr>
        <w:tabs>
          <w:tab w:val="left" w:pos="6330"/>
        </w:tabs>
        <w:spacing w:after="0" w:line="240" w:lineRule="auto"/>
        <w:jc w:val="both"/>
        <w:rPr>
          <w:rFonts w:ascii="Times New Roman" w:hAnsi="Times New Roman" w:cs="Times New Roman"/>
        </w:rPr>
      </w:pP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integration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generative artificial </w:t>
      </w:r>
      <w:proofErr w:type="spellStart"/>
      <w:r w:rsidRPr="001E357C">
        <w:rPr>
          <w:rFonts w:ascii="Times New Roman" w:hAnsi="Times New Roman" w:cs="Times New Roman"/>
        </w:rPr>
        <w:t>intelligence</w:t>
      </w:r>
      <w:proofErr w:type="spellEnd"/>
      <w:r w:rsidRPr="001E357C">
        <w:rPr>
          <w:rFonts w:ascii="Times New Roman" w:hAnsi="Times New Roman" w:cs="Times New Roman"/>
        </w:rPr>
        <w:t xml:space="preserve"> (GAI) </w:t>
      </w:r>
      <w:proofErr w:type="spellStart"/>
      <w:r w:rsidRPr="001E357C">
        <w:rPr>
          <w:rFonts w:ascii="Times New Roman" w:hAnsi="Times New Roman" w:cs="Times New Roman"/>
        </w:rPr>
        <w:t>tools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into</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higher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education</w:t>
      </w:r>
      <w:proofErr w:type="spellEnd"/>
      <w:r w:rsidRPr="001E357C">
        <w:rPr>
          <w:rFonts w:ascii="Times New Roman" w:hAnsi="Times New Roman" w:cs="Times New Roman"/>
        </w:rPr>
        <w:t xml:space="preserve"> has </w:t>
      </w:r>
      <w:proofErr w:type="spellStart"/>
      <w:r w:rsidRPr="001E357C">
        <w:rPr>
          <w:rFonts w:ascii="Times New Roman" w:hAnsi="Times New Roman" w:cs="Times New Roman"/>
        </w:rPr>
        <w:t>transformed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academic</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practices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prompting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questions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about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their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impact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students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In response, </w:t>
      </w:r>
      <w:proofErr w:type="spellStart"/>
      <w:r w:rsidRPr="001E357C">
        <w:rPr>
          <w:rFonts w:ascii="Times New Roman" w:hAnsi="Times New Roman" w:cs="Times New Roman"/>
        </w:rPr>
        <w:t>this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study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aimed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to</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develop</w:t>
      </w:r>
      <w:proofErr w:type="spellEnd"/>
      <w:r w:rsidRPr="001E357C">
        <w:rPr>
          <w:rFonts w:ascii="Times New Roman" w:hAnsi="Times New Roman" w:cs="Times New Roman"/>
        </w:rPr>
        <w:t xml:space="preserve"> and </w:t>
      </w:r>
      <w:proofErr w:type="spellStart"/>
      <w:r w:rsidRPr="001E357C">
        <w:rPr>
          <w:rFonts w:ascii="Times New Roman" w:hAnsi="Times New Roman" w:cs="Times New Roman"/>
        </w:rPr>
        <w:t>psychometrically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validate</w:t>
      </w:r>
      <w:proofErr w:type="spellEnd"/>
      <w:r w:rsidRPr="001E357C">
        <w:rPr>
          <w:rFonts w:ascii="Times New Roman" w:hAnsi="Times New Roman" w:cs="Times New Roman"/>
        </w:rPr>
        <w:t xml:space="preserve"> a </w:t>
      </w:r>
      <w:proofErr w:type="spellStart"/>
      <w:r w:rsidRPr="001E357C">
        <w:rPr>
          <w:rFonts w:ascii="Times New Roman" w:hAnsi="Times New Roman" w:cs="Times New Roman"/>
        </w:rPr>
        <w:t>scale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to</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assess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dispositional</w:t>
      </w:r>
      <w:proofErr w:type="spellEnd"/>
      <w:r w:rsidRPr="001E357C">
        <w:rPr>
          <w:rFonts w:ascii="Times New Roman" w:hAnsi="Times New Roman" w:cs="Times New Roman"/>
          <w:b/>
        </w:rPr>
        <w:t xml:space="preserve"> </w:t>
      </w:r>
      <w:proofErr w:type="spellStart"/>
      <w:r w:rsidRPr="001E357C">
        <w:rPr>
          <w:rFonts w:ascii="Times New Roman" w:hAnsi="Times New Roman" w:cs="Times New Roman"/>
        </w:rPr>
        <w:t>associated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with</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in </w:t>
      </w:r>
      <w:proofErr w:type="spellStart"/>
      <w:r w:rsidRPr="001E357C">
        <w:rPr>
          <w:rFonts w:ascii="Times New Roman" w:hAnsi="Times New Roman" w:cs="Times New Roman"/>
        </w:rPr>
        <w:t>university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students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using</w:t>
      </w:r>
      <w:proofErr w:type="spellEnd"/>
      <w:r w:rsidRPr="001E357C">
        <w:rPr>
          <w:rFonts w:ascii="Times New Roman" w:hAnsi="Times New Roman" w:cs="Times New Roman"/>
        </w:rPr>
        <w:t xml:space="preserve"> GAI </w:t>
      </w:r>
      <w:proofErr w:type="spellStart"/>
      <w:r w:rsidRPr="001E357C">
        <w:rPr>
          <w:rFonts w:ascii="Times New Roman" w:hAnsi="Times New Roman" w:cs="Times New Roman"/>
        </w:rPr>
        <w:t>for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academic</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purposes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theoretical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lastRenderedPageBreak/>
        <w:t>foundation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was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based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on</w:t>
      </w:r>
      <w:proofErr w:type="spellEnd"/>
      <w:r w:rsidRPr="001E357C">
        <w:rPr>
          <w:rFonts w:ascii="Times New Roman" w:hAnsi="Times New Roman" w:cs="Times New Roman"/>
        </w:rPr>
        <w:t xml:space="preserve"> Ennis’ (1996) </w:t>
      </w:r>
      <w:proofErr w:type="spellStart"/>
      <w:r w:rsidRPr="001E357C">
        <w:rPr>
          <w:rFonts w:ascii="Times New Roman" w:hAnsi="Times New Roman" w:cs="Times New Roman"/>
        </w:rPr>
        <w:t>model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dispositions</w:t>
      </w:r>
      <w:proofErr w:type="spellEnd"/>
      <w:r w:rsidRPr="001E357C">
        <w:rPr>
          <w:rFonts w:ascii="Times New Roman" w:hAnsi="Times New Roman" w:cs="Times New Roman"/>
        </w:rPr>
        <w:t xml:space="preserve">. A </w:t>
      </w:r>
      <w:proofErr w:type="spellStart"/>
      <w:r w:rsidRPr="001E357C">
        <w:rPr>
          <w:rFonts w:ascii="Times New Roman" w:hAnsi="Times New Roman" w:cs="Times New Roman"/>
        </w:rPr>
        <w:t>quantitative</w:t>
      </w:r>
      <w:proofErr w:type="spellEnd"/>
      <w:r w:rsidRPr="001E357C">
        <w:rPr>
          <w:rFonts w:ascii="Times New Roman" w:hAnsi="Times New Roman" w:cs="Times New Roman"/>
        </w:rPr>
        <w:t xml:space="preserve">, instrumental </w:t>
      </w:r>
      <w:proofErr w:type="spellStart"/>
      <w:r w:rsidRPr="001E357C">
        <w:rPr>
          <w:rFonts w:ascii="Times New Roman" w:hAnsi="Times New Roman" w:cs="Times New Roman"/>
        </w:rPr>
        <w:t>research</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design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was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adopted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initial</w:t>
      </w:r>
      <w:proofErr w:type="spellEnd"/>
      <w:r w:rsidRPr="001E357C">
        <w:rPr>
          <w:rFonts w:ascii="Times New Roman" w:hAnsi="Times New Roman" w:cs="Times New Roman"/>
        </w:rPr>
        <w:t xml:space="preserve"> pool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36 </w:t>
      </w:r>
      <w:proofErr w:type="spellStart"/>
      <w:r w:rsidRPr="001E357C">
        <w:rPr>
          <w:rFonts w:ascii="Times New Roman" w:hAnsi="Times New Roman" w:cs="Times New Roman"/>
        </w:rPr>
        <w:t>items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was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developed</w:t>
      </w:r>
      <w:proofErr w:type="spellEnd"/>
      <w:r w:rsidRPr="001E357C">
        <w:rPr>
          <w:rFonts w:ascii="Times New Roman" w:hAnsi="Times New Roman" w:cs="Times New Roman"/>
        </w:rPr>
        <w:t xml:space="preserve"> and </w:t>
      </w:r>
      <w:proofErr w:type="spellStart"/>
      <w:r w:rsidRPr="001E357C">
        <w:rPr>
          <w:rFonts w:ascii="Times New Roman" w:hAnsi="Times New Roman" w:cs="Times New Roman"/>
        </w:rPr>
        <w:t>evaluated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by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expert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judgment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yielding</w:t>
      </w:r>
      <w:proofErr w:type="spellEnd"/>
      <w:r w:rsidRPr="001E357C">
        <w:rPr>
          <w:rFonts w:ascii="Times New Roman" w:hAnsi="Times New Roman" w:cs="Times New Roman"/>
        </w:rPr>
        <w:t xml:space="preserve"> a Content </w:t>
      </w:r>
      <w:proofErr w:type="spellStart"/>
      <w:r w:rsidRPr="001E357C">
        <w:rPr>
          <w:rFonts w:ascii="Times New Roman" w:hAnsi="Times New Roman" w:cs="Times New Roman"/>
        </w:rPr>
        <w:t>Validity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Coefficient</w:t>
      </w:r>
      <w:proofErr w:type="spellEnd"/>
      <w:r w:rsidRPr="001E357C">
        <w:rPr>
          <w:rFonts w:ascii="Times New Roman" w:hAnsi="Times New Roman" w:cs="Times New Roman"/>
        </w:rPr>
        <w:t xml:space="preserve"> (CVC)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.94.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revised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scale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was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administered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to</w:t>
      </w:r>
      <w:proofErr w:type="spellEnd"/>
      <w:r w:rsidRPr="001E357C">
        <w:rPr>
          <w:rFonts w:ascii="Times New Roman" w:hAnsi="Times New Roman" w:cs="Times New Roman"/>
        </w:rPr>
        <w:t xml:space="preserve"> a </w:t>
      </w:r>
      <w:proofErr w:type="spellStart"/>
      <w:r w:rsidRPr="001E357C">
        <w:rPr>
          <w:rFonts w:ascii="Times New Roman" w:hAnsi="Times New Roman" w:cs="Times New Roman"/>
        </w:rPr>
        <w:t>sample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176 </w:t>
      </w:r>
      <w:proofErr w:type="spellStart"/>
      <w:r w:rsidRPr="001E357C">
        <w:rPr>
          <w:rFonts w:ascii="Times New Roman" w:hAnsi="Times New Roman" w:cs="Times New Roman"/>
        </w:rPr>
        <w:t>undergraduate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students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from</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social </w:t>
      </w:r>
      <w:proofErr w:type="spellStart"/>
      <w:r w:rsidRPr="001E357C">
        <w:rPr>
          <w:rFonts w:ascii="Times New Roman" w:hAnsi="Times New Roman" w:cs="Times New Roman"/>
        </w:rPr>
        <w:t>sciences</w:t>
      </w:r>
      <w:proofErr w:type="spellEnd"/>
      <w:r w:rsidRPr="001E357C">
        <w:rPr>
          <w:rFonts w:ascii="Times New Roman" w:hAnsi="Times New Roman" w:cs="Times New Roman"/>
        </w:rPr>
        <w:t xml:space="preserve"> and </w:t>
      </w:r>
      <w:proofErr w:type="spellStart"/>
      <w:r w:rsidRPr="001E357C">
        <w:rPr>
          <w:rFonts w:ascii="Times New Roman" w:hAnsi="Times New Roman" w:cs="Times New Roman"/>
        </w:rPr>
        <w:t>humanities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Exploratory</w:t>
      </w:r>
      <w:proofErr w:type="spellEnd"/>
      <w:r w:rsidRPr="001E357C">
        <w:rPr>
          <w:rFonts w:ascii="Times New Roman" w:hAnsi="Times New Roman" w:cs="Times New Roman"/>
        </w:rPr>
        <w:t xml:space="preserve"> factor </w:t>
      </w:r>
      <w:proofErr w:type="spellStart"/>
      <w:r w:rsidRPr="001E357C">
        <w:rPr>
          <w:rFonts w:ascii="Times New Roman" w:hAnsi="Times New Roman" w:cs="Times New Roman"/>
        </w:rPr>
        <w:t>analysis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by</w:t>
      </w:r>
      <w:proofErr w:type="spellEnd"/>
      <w:r w:rsidRPr="001E357C">
        <w:rPr>
          <w:rFonts w:ascii="Times New Roman" w:hAnsi="Times New Roman" w:cs="Times New Roman"/>
        </w:rPr>
        <w:t xml:space="preserve"> conceptual blocks </w:t>
      </w:r>
      <w:proofErr w:type="spellStart"/>
      <w:r w:rsidRPr="001E357C">
        <w:rPr>
          <w:rFonts w:ascii="Times New Roman" w:hAnsi="Times New Roman" w:cs="Times New Roman"/>
        </w:rPr>
        <w:t>restructured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original </w:t>
      </w:r>
      <w:proofErr w:type="spellStart"/>
      <w:r w:rsidRPr="001E357C">
        <w:rPr>
          <w:rFonts w:ascii="Times New Roman" w:hAnsi="Times New Roman" w:cs="Times New Roman"/>
        </w:rPr>
        <w:t>twelve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dispositions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into</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four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empirically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supported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factors</w:t>
      </w:r>
      <w:proofErr w:type="spellEnd"/>
      <w:r w:rsidRPr="001E357C">
        <w:rPr>
          <w:rFonts w:ascii="Times New Roman" w:hAnsi="Times New Roman" w:cs="Times New Roman"/>
        </w:rPr>
        <w:t xml:space="preserve">: rigor in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inquiry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process</w:t>
      </w:r>
      <w:proofErr w:type="spellEnd"/>
      <w:r w:rsidRPr="001E357C">
        <w:rPr>
          <w:rFonts w:ascii="Times New Roman" w:hAnsi="Times New Roman" w:cs="Times New Roman"/>
        </w:rPr>
        <w:t xml:space="preserve"> (α = .848), cognitive </w:t>
      </w:r>
      <w:proofErr w:type="spellStart"/>
      <w:r w:rsidRPr="001E357C">
        <w:rPr>
          <w:rFonts w:ascii="Times New Roman" w:hAnsi="Times New Roman" w:cs="Times New Roman"/>
        </w:rPr>
        <w:t>flexibility</w:t>
      </w:r>
      <w:proofErr w:type="spellEnd"/>
      <w:r w:rsidRPr="001E357C">
        <w:rPr>
          <w:rFonts w:ascii="Times New Roman" w:hAnsi="Times New Roman" w:cs="Times New Roman"/>
        </w:rPr>
        <w:t xml:space="preserve"> (α = .778), </w:t>
      </w:r>
      <w:proofErr w:type="spellStart"/>
      <w:r w:rsidRPr="001E357C">
        <w:rPr>
          <w:rFonts w:ascii="Times New Roman" w:hAnsi="Times New Roman" w:cs="Times New Roman"/>
        </w:rPr>
        <w:t>contextualized</w:t>
      </w:r>
      <w:proofErr w:type="spellEnd"/>
      <w:r w:rsidRPr="001E357C">
        <w:rPr>
          <w:rFonts w:ascii="Times New Roman" w:hAnsi="Times New Roman" w:cs="Times New Roman"/>
        </w:rPr>
        <w:t xml:space="preserve"> reflective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(α = .863), and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evaluation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information</w:t>
      </w:r>
      <w:proofErr w:type="spellEnd"/>
      <w:r w:rsidRPr="001E357C">
        <w:rPr>
          <w:rFonts w:ascii="Times New Roman" w:hAnsi="Times New Roman" w:cs="Times New Roman"/>
        </w:rPr>
        <w:t xml:space="preserve"> (α = .887).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final </w:t>
      </w:r>
      <w:proofErr w:type="spellStart"/>
      <w:r w:rsidRPr="001E357C">
        <w:rPr>
          <w:rFonts w:ascii="Times New Roman" w:hAnsi="Times New Roman" w:cs="Times New Roman"/>
        </w:rPr>
        <w:t>model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showed</w:t>
      </w:r>
      <w:proofErr w:type="spellEnd"/>
      <w:r w:rsidRPr="001E357C">
        <w:rPr>
          <w:rFonts w:ascii="Times New Roman" w:hAnsi="Times New Roman" w:cs="Times New Roman"/>
        </w:rPr>
        <w:t xml:space="preserve"> factor </w:t>
      </w:r>
      <w:proofErr w:type="spellStart"/>
      <w:r w:rsidRPr="001E357C">
        <w:rPr>
          <w:rFonts w:ascii="Times New Roman" w:hAnsi="Times New Roman" w:cs="Times New Roman"/>
        </w:rPr>
        <w:t>loadings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ranging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from</w:t>
      </w:r>
      <w:proofErr w:type="spellEnd"/>
      <w:r w:rsidRPr="001E357C">
        <w:rPr>
          <w:rFonts w:ascii="Times New Roman" w:hAnsi="Times New Roman" w:cs="Times New Roman"/>
        </w:rPr>
        <w:t xml:space="preserve"> .63 </w:t>
      </w:r>
      <w:proofErr w:type="spellStart"/>
      <w:r w:rsidRPr="001E357C">
        <w:rPr>
          <w:rFonts w:ascii="Times New Roman" w:hAnsi="Times New Roman" w:cs="Times New Roman"/>
        </w:rPr>
        <w:t>to</w:t>
      </w:r>
      <w:proofErr w:type="spellEnd"/>
      <w:r w:rsidRPr="001E357C">
        <w:rPr>
          <w:rFonts w:ascii="Times New Roman" w:hAnsi="Times New Roman" w:cs="Times New Roman"/>
        </w:rPr>
        <w:t xml:space="preserve"> .86, </w:t>
      </w:r>
      <w:proofErr w:type="spellStart"/>
      <w:r w:rsidRPr="001E357C">
        <w:rPr>
          <w:rFonts w:ascii="Times New Roman" w:hAnsi="Times New Roman" w:cs="Times New Roman"/>
        </w:rPr>
        <w:t>explained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variance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55.3%, and </w:t>
      </w:r>
      <w:proofErr w:type="spellStart"/>
      <w:r w:rsidRPr="001E357C">
        <w:rPr>
          <w:rFonts w:ascii="Times New Roman" w:hAnsi="Times New Roman" w:cs="Times New Roman"/>
        </w:rPr>
        <w:t>excellent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overall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reliability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Cronbach’s</w:t>
      </w:r>
      <w:proofErr w:type="spellEnd"/>
      <w:r w:rsidRPr="001E357C">
        <w:rPr>
          <w:rFonts w:ascii="Times New Roman" w:hAnsi="Times New Roman" w:cs="Times New Roman"/>
        </w:rPr>
        <w:t xml:space="preserve"> α = .951; 95% CI: .937–.965). </w:t>
      </w:r>
      <w:proofErr w:type="spellStart"/>
      <w:r w:rsidRPr="001E357C">
        <w:rPr>
          <w:rFonts w:ascii="Times New Roman" w:hAnsi="Times New Roman" w:cs="Times New Roman"/>
        </w:rPr>
        <w:t>Results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confirmed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structural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validity</w:t>
      </w:r>
      <w:proofErr w:type="spellEnd"/>
      <w:r w:rsidRPr="001E357C">
        <w:rPr>
          <w:rFonts w:ascii="Times New Roman" w:hAnsi="Times New Roman" w:cs="Times New Roman"/>
        </w:rPr>
        <w:t xml:space="preserve"> and </w:t>
      </w:r>
      <w:proofErr w:type="spellStart"/>
      <w:r w:rsidRPr="001E357C">
        <w:rPr>
          <w:rFonts w:ascii="Times New Roman" w:hAnsi="Times New Roman" w:cs="Times New Roman"/>
        </w:rPr>
        <w:t>internal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consistency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instrument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positioning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it</w:t>
      </w:r>
      <w:proofErr w:type="spellEnd"/>
      <w:r w:rsidRPr="001E357C">
        <w:rPr>
          <w:rFonts w:ascii="Times New Roman" w:hAnsi="Times New Roman" w:cs="Times New Roman"/>
        </w:rPr>
        <w:t xml:space="preserve"> as a </w:t>
      </w:r>
      <w:proofErr w:type="spellStart"/>
      <w:r w:rsidRPr="001E357C">
        <w:rPr>
          <w:rFonts w:ascii="Times New Roman" w:hAnsi="Times New Roman" w:cs="Times New Roman"/>
        </w:rPr>
        <w:t>reliable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diagnostic</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tool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for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assessing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dispositions</w:t>
      </w:r>
      <w:proofErr w:type="spellEnd"/>
      <w:r w:rsidRPr="001E357C">
        <w:rPr>
          <w:rFonts w:ascii="Times New Roman" w:hAnsi="Times New Roman" w:cs="Times New Roman"/>
        </w:rPr>
        <w:t xml:space="preserve"> in </w:t>
      </w:r>
      <w:proofErr w:type="spellStart"/>
      <w:r w:rsidRPr="001E357C">
        <w:rPr>
          <w:rFonts w:ascii="Times New Roman" w:hAnsi="Times New Roman" w:cs="Times New Roman"/>
        </w:rPr>
        <w:t>academic</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contexts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mediated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by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GAI.Its</w:t>
      </w:r>
      <w:proofErr w:type="spellEnd"/>
      <w:r w:rsidRPr="001E357C">
        <w:rPr>
          <w:rFonts w:ascii="Times New Roman" w:hAnsi="Times New Roman" w:cs="Times New Roman"/>
        </w:rPr>
        <w:t xml:space="preserve"> use </w:t>
      </w:r>
      <w:proofErr w:type="spellStart"/>
      <w:r w:rsidRPr="001E357C">
        <w:rPr>
          <w:rFonts w:ascii="Times New Roman" w:hAnsi="Times New Roman" w:cs="Times New Roman"/>
        </w:rPr>
        <w:t>may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inform</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design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formative </w:t>
      </w:r>
      <w:proofErr w:type="spellStart"/>
      <w:r w:rsidRPr="001E357C">
        <w:rPr>
          <w:rFonts w:ascii="Times New Roman" w:hAnsi="Times New Roman" w:cs="Times New Roman"/>
        </w:rPr>
        <w:t>interventions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that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promote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epistemic</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responsibility</w:t>
      </w:r>
      <w:proofErr w:type="spellEnd"/>
      <w:r w:rsidRPr="001E357C">
        <w:rPr>
          <w:rFonts w:ascii="Times New Roman" w:hAnsi="Times New Roman" w:cs="Times New Roman"/>
        </w:rPr>
        <w:t xml:space="preserve">, reflective </w:t>
      </w:r>
      <w:proofErr w:type="spellStart"/>
      <w:r w:rsidRPr="001E357C">
        <w:rPr>
          <w:rFonts w:ascii="Times New Roman" w:hAnsi="Times New Roman" w:cs="Times New Roman"/>
        </w:rPr>
        <w:t>reasoning</w:t>
      </w:r>
      <w:proofErr w:type="spellEnd"/>
      <w:r w:rsidRPr="001E357C">
        <w:rPr>
          <w:rFonts w:ascii="Times New Roman" w:hAnsi="Times New Roman" w:cs="Times New Roman"/>
        </w:rPr>
        <w:t xml:space="preserve">, and </w:t>
      </w:r>
      <w:proofErr w:type="spellStart"/>
      <w:r w:rsidRPr="001E357C">
        <w:rPr>
          <w:rFonts w:ascii="Times New Roman" w:hAnsi="Times New Roman" w:cs="Times New Roman"/>
        </w:rPr>
        <w:t>intellectual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autonomy</w:t>
      </w:r>
      <w:proofErr w:type="spellEnd"/>
      <w:r w:rsidRPr="001E357C">
        <w:rPr>
          <w:rFonts w:ascii="Times New Roman" w:hAnsi="Times New Roman" w:cs="Times New Roman"/>
        </w:rPr>
        <w:t xml:space="preserve"> in </w:t>
      </w:r>
      <w:proofErr w:type="spellStart"/>
      <w:r w:rsidRPr="001E357C">
        <w:rPr>
          <w:rFonts w:ascii="Times New Roman" w:hAnsi="Times New Roman" w:cs="Times New Roman"/>
        </w:rPr>
        <w:t>technology-rich</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educational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environments</w:t>
      </w:r>
      <w:proofErr w:type="spellEnd"/>
      <w:r w:rsidRPr="001E357C">
        <w:rPr>
          <w:rFonts w:ascii="Times New Roman" w:hAnsi="Times New Roman" w:cs="Times New Roman"/>
        </w:rPr>
        <w:t>.</w:t>
      </w:r>
    </w:p>
    <w:p w14:paraId="4A33543B"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244FE23B" w14:textId="77777777" w:rsidR="00AF5455" w:rsidRPr="001E357C"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b/>
        </w:rPr>
        <w:t xml:space="preserve">Key </w:t>
      </w:r>
      <w:proofErr w:type="spellStart"/>
      <w:r w:rsidRPr="001E357C">
        <w:rPr>
          <w:rFonts w:ascii="Times New Roman" w:hAnsi="Times New Roman" w:cs="Times New Roman"/>
          <w:b/>
        </w:rPr>
        <w:t>words</w:t>
      </w:r>
      <w:proofErr w:type="spellEnd"/>
      <w:r w:rsidRPr="001E357C">
        <w:rPr>
          <w:rFonts w:ascii="Times New Roman" w:hAnsi="Times New Roman" w:cs="Times New Roman"/>
          <w:b/>
        </w:rPr>
        <w:t>:</w:t>
      </w:r>
      <w:r w:rsidRPr="001E357C">
        <w:rPr>
          <w:rFonts w:ascii="Times New Roman" w:hAnsi="Times New Roman" w:cs="Times New Roman"/>
        </w:rPr>
        <w:t xml:space="preserve"> </w:t>
      </w:r>
      <w:proofErr w:type="spellStart"/>
      <w:r w:rsidRPr="001E357C">
        <w:rPr>
          <w:rFonts w:ascii="Times New Roman" w:hAnsi="Times New Roman" w:cs="Times New Roman"/>
        </w:rPr>
        <w:t>construct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validity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internal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consistency</w:t>
      </w:r>
      <w:proofErr w:type="spellEnd"/>
      <w:r w:rsidRPr="001E357C">
        <w:rPr>
          <w:rFonts w:ascii="Times New Roman" w:hAnsi="Times New Roman" w:cs="Times New Roman"/>
        </w:rPr>
        <w:t xml:space="preserve">, instrumental </w:t>
      </w:r>
      <w:proofErr w:type="spellStart"/>
      <w:r w:rsidRPr="001E357C">
        <w:rPr>
          <w:rFonts w:ascii="Times New Roman" w:hAnsi="Times New Roman" w:cs="Times New Roman"/>
        </w:rPr>
        <w:t>design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judgment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university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education</w:t>
      </w:r>
      <w:proofErr w:type="spellEnd"/>
    </w:p>
    <w:p w14:paraId="6D0A54C3" w14:textId="77777777" w:rsidR="00194793" w:rsidRPr="00194793" w:rsidRDefault="00194793" w:rsidP="003E5A64">
      <w:pPr>
        <w:tabs>
          <w:tab w:val="left" w:pos="6330"/>
        </w:tabs>
        <w:spacing w:after="0" w:line="240" w:lineRule="auto"/>
        <w:jc w:val="both"/>
        <w:rPr>
          <w:rFonts w:ascii="Times New Roman" w:hAnsi="Times New Roman" w:cs="Times New Roman"/>
          <w:lang w:val="en-US"/>
        </w:rPr>
      </w:pPr>
    </w:p>
    <w:p w14:paraId="4062B9BF" w14:textId="77777777" w:rsidR="00194793" w:rsidRPr="00194793" w:rsidRDefault="00194793" w:rsidP="003E5A64">
      <w:pPr>
        <w:tabs>
          <w:tab w:val="left" w:pos="6330"/>
        </w:tabs>
        <w:spacing w:after="0" w:line="240" w:lineRule="auto"/>
        <w:jc w:val="both"/>
        <w:rPr>
          <w:rFonts w:ascii="Times New Roman" w:hAnsi="Times New Roman" w:cs="Times New Roman"/>
          <w:lang w:val="en-US"/>
        </w:rPr>
      </w:pPr>
    </w:p>
    <w:p w14:paraId="267CA66F" w14:textId="77777777" w:rsidR="00194793" w:rsidRPr="001E357C" w:rsidRDefault="00194793" w:rsidP="003E5A64">
      <w:pPr>
        <w:tabs>
          <w:tab w:val="left" w:pos="6330"/>
        </w:tabs>
        <w:spacing w:after="0" w:line="240" w:lineRule="auto"/>
        <w:jc w:val="both"/>
        <w:rPr>
          <w:rFonts w:ascii="Times New Roman" w:hAnsi="Times New Roman" w:cs="Times New Roman"/>
        </w:rPr>
      </w:pPr>
      <w:r w:rsidRPr="00194793">
        <w:rPr>
          <w:rFonts w:ascii="Times New Roman" w:hAnsi="Times New Roman" w:cs="Times New Roman"/>
          <w:b/>
        </w:rPr>
        <w:t>Fecha Recepción:</w:t>
      </w:r>
      <w:r w:rsidRPr="00194793">
        <w:rPr>
          <w:rFonts w:ascii="Times New Roman" w:hAnsi="Times New Roman" w:cs="Times New Roman"/>
        </w:rPr>
        <w:t xml:space="preserve"> </w:t>
      </w:r>
      <w:proofErr w:type="gramStart"/>
      <w:r w:rsidRPr="00194793">
        <w:rPr>
          <w:rFonts w:ascii="Times New Roman" w:hAnsi="Times New Roman" w:cs="Times New Roman"/>
        </w:rPr>
        <w:t>Enero</w:t>
      </w:r>
      <w:proofErr w:type="gramEnd"/>
      <w:r w:rsidRPr="00194793">
        <w:rPr>
          <w:rFonts w:ascii="Times New Roman" w:hAnsi="Times New Roman" w:cs="Times New Roman"/>
        </w:rPr>
        <w:t xml:space="preserve"> 2025                                                   </w:t>
      </w:r>
      <w:r w:rsidRPr="00194793">
        <w:rPr>
          <w:rFonts w:ascii="Times New Roman" w:hAnsi="Times New Roman" w:cs="Times New Roman"/>
          <w:b/>
        </w:rPr>
        <w:t>Fecha Aceptación:</w:t>
      </w:r>
      <w:r w:rsidRPr="00194793">
        <w:rPr>
          <w:rFonts w:ascii="Times New Roman" w:hAnsi="Times New Roman" w:cs="Times New Roman"/>
        </w:rPr>
        <w:t xml:space="preserve"> </w:t>
      </w:r>
      <w:proofErr w:type="gramStart"/>
      <w:r w:rsidRPr="00194793">
        <w:rPr>
          <w:rFonts w:ascii="Times New Roman" w:hAnsi="Times New Roman" w:cs="Times New Roman"/>
        </w:rPr>
        <w:t>Mayo</w:t>
      </w:r>
      <w:proofErr w:type="gramEnd"/>
      <w:r w:rsidRPr="00194793">
        <w:rPr>
          <w:rFonts w:ascii="Times New Roman" w:hAnsi="Times New Roman" w:cs="Times New Roman"/>
        </w:rPr>
        <w:t xml:space="preserve"> 2025</w:t>
      </w:r>
    </w:p>
    <w:p w14:paraId="504EAA17" w14:textId="77777777" w:rsidR="00194793" w:rsidRPr="00194793" w:rsidRDefault="00194793" w:rsidP="003E5A64">
      <w:pPr>
        <w:pBdr>
          <w:bottom w:val="single" w:sz="4" w:space="1" w:color="auto"/>
        </w:pBdr>
        <w:tabs>
          <w:tab w:val="left" w:pos="6330"/>
        </w:tabs>
        <w:spacing w:after="0" w:line="240" w:lineRule="auto"/>
        <w:jc w:val="both"/>
        <w:rPr>
          <w:rFonts w:ascii="Times New Roman" w:hAnsi="Times New Roman" w:cs="Times New Roman"/>
        </w:rPr>
      </w:pPr>
    </w:p>
    <w:p w14:paraId="1709C632" w14:textId="77777777" w:rsidR="00194793" w:rsidRPr="00194793" w:rsidRDefault="00194793" w:rsidP="003E5A64">
      <w:pPr>
        <w:tabs>
          <w:tab w:val="left" w:pos="6330"/>
        </w:tabs>
        <w:spacing w:after="0" w:line="240" w:lineRule="auto"/>
        <w:jc w:val="both"/>
        <w:rPr>
          <w:rFonts w:ascii="Times New Roman" w:hAnsi="Times New Roman" w:cs="Times New Roman"/>
        </w:rPr>
      </w:pPr>
    </w:p>
    <w:p w14:paraId="27A6AEBA" w14:textId="77777777" w:rsidR="00AF5455" w:rsidRDefault="00AF5455" w:rsidP="003E5A64">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t>Introducción</w:t>
      </w:r>
    </w:p>
    <w:p w14:paraId="69B94F36" w14:textId="77777777" w:rsidR="003E5A64" w:rsidRPr="001E357C" w:rsidRDefault="003E5A64" w:rsidP="003E5A64">
      <w:pPr>
        <w:tabs>
          <w:tab w:val="left" w:pos="6330"/>
        </w:tabs>
        <w:spacing w:after="0" w:line="240" w:lineRule="auto"/>
        <w:jc w:val="center"/>
        <w:rPr>
          <w:rFonts w:ascii="Times New Roman" w:hAnsi="Times New Roman" w:cs="Times New Roman"/>
          <w:b/>
          <w:bCs/>
        </w:rPr>
      </w:pPr>
    </w:p>
    <w:p w14:paraId="4089DF60" w14:textId="1D39CA3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La incorporación de modelos de Inteligencia artificial generativa (IAG), como </w:t>
      </w:r>
      <w:proofErr w:type="spellStart"/>
      <w:r w:rsidRPr="001E357C">
        <w:rPr>
          <w:rFonts w:ascii="Times New Roman" w:hAnsi="Times New Roman" w:cs="Times New Roman"/>
          <w:i/>
        </w:rPr>
        <w:t>ChatGPT</w:t>
      </w:r>
      <w:proofErr w:type="spellEnd"/>
      <w:r w:rsidRPr="001E357C">
        <w:rPr>
          <w:rFonts w:ascii="Times New Roman" w:hAnsi="Times New Roman" w:cs="Times New Roman"/>
          <w:i/>
        </w:rPr>
        <w:t>, Bing o Gemini</w:t>
      </w:r>
      <w:r w:rsidRPr="001E357C">
        <w:rPr>
          <w:rFonts w:ascii="Times New Roman" w:hAnsi="Times New Roman" w:cs="Times New Roman"/>
        </w:rPr>
        <w:t>, está transformando las prácticas académicas en la educación superior. Estas herramientas no solo automatizan procesos de redacción y búsqueda de información, sino que también modifican profundamente la forma en que los estudiantes acceden al conocimiento, y elaboran juicios y toman decisiones académicas informadas (</w:t>
      </w:r>
      <w:proofErr w:type="spellStart"/>
      <w:r w:rsidRPr="001E357C">
        <w:rPr>
          <w:rFonts w:ascii="Times New Roman" w:hAnsi="Times New Roman" w:cs="Times New Roman"/>
        </w:rPr>
        <w:t>Shanto</w:t>
      </w:r>
      <w:proofErr w:type="spellEnd"/>
      <w:r w:rsidRPr="001E357C">
        <w:rPr>
          <w:rFonts w:ascii="Times New Roman" w:hAnsi="Times New Roman" w:cs="Times New Roman"/>
        </w:rPr>
        <w:t xml:space="preserve">, Ahmed &amp; </w:t>
      </w:r>
      <w:proofErr w:type="gramStart"/>
      <w:r w:rsidRPr="001E357C">
        <w:rPr>
          <w:rFonts w:ascii="Times New Roman" w:hAnsi="Times New Roman" w:cs="Times New Roman"/>
        </w:rPr>
        <w:t>Islam</w:t>
      </w:r>
      <w:proofErr w:type="gramEnd"/>
      <w:r w:rsidRPr="001E357C">
        <w:rPr>
          <w:rFonts w:ascii="Times New Roman" w:hAnsi="Times New Roman" w:cs="Times New Roman"/>
        </w:rPr>
        <w:t xml:space="preserve">, 2024; </w:t>
      </w:r>
      <w:r w:rsidRPr="003E5A64">
        <w:rPr>
          <w:rFonts w:ascii="Times New Roman" w:hAnsi="Times New Roman" w:cs="Times New Roman"/>
        </w:rPr>
        <w:t xml:space="preserve">Nguyen, Le &amp; Nguyen, 2024). Actualmente, herramientas como </w:t>
      </w:r>
      <w:proofErr w:type="spellStart"/>
      <w:r w:rsidRPr="003E5A64">
        <w:rPr>
          <w:rFonts w:ascii="Times New Roman" w:hAnsi="Times New Roman" w:cs="Times New Roman"/>
        </w:rPr>
        <w:t>ChatGPT</w:t>
      </w:r>
      <w:proofErr w:type="spellEnd"/>
      <w:r w:rsidRPr="003E5A64">
        <w:rPr>
          <w:rFonts w:ascii="Times New Roman" w:hAnsi="Times New Roman" w:cs="Times New Roman"/>
        </w:rPr>
        <w:t xml:space="preserve"> han alcanzado más de 100 millones de usuarios mensuales, lo cual ha generado debates globales sobre su impacto en la autoría académica, la evaluación educativa y el desarrollo del pensamiento autónomo. Si bien su potencial pedagógico es amplio, la ausencia de una mediación crítica puede derivar en prácticas cognitivamente empobrecidas, como la dependencia excesiva o la superficialidad en el análisis.</w:t>
      </w:r>
    </w:p>
    <w:p w14:paraId="51EA1BD0"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044B3C7F"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Desde una perspectiva optimista, </w:t>
      </w:r>
      <w:proofErr w:type="spellStart"/>
      <w:r w:rsidRPr="003E5A64">
        <w:rPr>
          <w:rFonts w:ascii="Times New Roman" w:hAnsi="Times New Roman" w:cs="Times New Roman"/>
        </w:rPr>
        <w:t>Luckin</w:t>
      </w:r>
      <w:proofErr w:type="spellEnd"/>
      <w:r w:rsidRPr="003E5A64">
        <w:rPr>
          <w:rFonts w:ascii="Times New Roman" w:hAnsi="Times New Roman" w:cs="Times New Roman"/>
        </w:rPr>
        <w:t xml:space="preserve">, Holmes, Griffiths y </w:t>
      </w:r>
      <w:proofErr w:type="spellStart"/>
      <w:r w:rsidRPr="003E5A64">
        <w:rPr>
          <w:rFonts w:ascii="Times New Roman" w:hAnsi="Times New Roman" w:cs="Times New Roman"/>
        </w:rPr>
        <w:t>Forcier</w:t>
      </w:r>
      <w:proofErr w:type="spellEnd"/>
      <w:r w:rsidRPr="003E5A64">
        <w:rPr>
          <w:rFonts w:ascii="Times New Roman" w:hAnsi="Times New Roman" w:cs="Times New Roman"/>
        </w:rPr>
        <w:t xml:space="preserve"> (2016) sostienen que la IAG tiene el potencial de fortalecer el aprendizaje humano, siempre que su implementación se base en principios pedagógicos sólidos, centrados en el estudiante y orientados al desarrollo de habilidades complejas. Sin embargo, los autores advierten que, en ausencia de una orientación educativa clara, estas tecnologías podrían perpetuar enfoques tradicionales y mecanicistas que limitan el pensamiento crítico.</w:t>
      </w:r>
    </w:p>
    <w:p w14:paraId="555C86B6" w14:textId="77777777" w:rsidR="00AF5455"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En esta misma línea, </w:t>
      </w:r>
      <w:proofErr w:type="spellStart"/>
      <w:r w:rsidRPr="003E5A64">
        <w:rPr>
          <w:rFonts w:ascii="Times New Roman" w:hAnsi="Times New Roman" w:cs="Times New Roman"/>
        </w:rPr>
        <w:t>Zawacki</w:t>
      </w:r>
      <w:proofErr w:type="spellEnd"/>
      <w:r w:rsidRPr="003E5A64">
        <w:rPr>
          <w:rFonts w:ascii="Times New Roman" w:hAnsi="Times New Roman" w:cs="Times New Roman"/>
        </w:rPr>
        <w:t xml:space="preserve">-Richter, Marín, Bond y </w:t>
      </w:r>
      <w:proofErr w:type="spellStart"/>
      <w:r w:rsidRPr="003E5A64">
        <w:rPr>
          <w:rFonts w:ascii="Times New Roman" w:hAnsi="Times New Roman" w:cs="Times New Roman"/>
        </w:rPr>
        <w:t>Gouverneur</w:t>
      </w:r>
      <w:proofErr w:type="spellEnd"/>
      <w:r w:rsidRPr="003E5A64">
        <w:rPr>
          <w:rFonts w:ascii="Times New Roman" w:hAnsi="Times New Roman" w:cs="Times New Roman"/>
        </w:rPr>
        <w:t xml:space="preserve"> (2019) subrayan que la investigación sobre IA en el ámbito de la educación superior ha tendido a centrarse en aspectos computacionales y técnicos, descuidando el análisis del rol docente y sus implicaciones pedagógicas. Esta omisión representa un obstáculo significativo para comprender de forma integral el fenómeno, especialmente en lo que respecta a la formación de competencias críticas en los estudiantes.</w:t>
      </w:r>
    </w:p>
    <w:p w14:paraId="7C2B2022" w14:textId="77777777" w:rsidR="003E5A64" w:rsidRDefault="003E5A64" w:rsidP="003E5A64">
      <w:pPr>
        <w:tabs>
          <w:tab w:val="left" w:pos="6330"/>
        </w:tabs>
        <w:spacing w:after="0" w:line="240" w:lineRule="auto"/>
        <w:jc w:val="both"/>
        <w:rPr>
          <w:rFonts w:ascii="Times New Roman" w:hAnsi="Times New Roman" w:cs="Times New Roman"/>
        </w:rPr>
      </w:pPr>
    </w:p>
    <w:p w14:paraId="56871CE6"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59A8E542"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lastRenderedPageBreak/>
        <w:t>Como consecuencia de esta falta de orientación pedagógica, se han identificado riesgos significativos como la aceptación acrítica de información, la desinformación algorítmica y la disminución de la autoría intelectual, especialmente cuando se utilizan estas herramientas como fuentes únicas o definitivas (Ríos-Hernández, Mateus, Rivera &amp; Ávila, 2024; Clemente Alcocer, Cabello Cabrera &amp; Añorve García, 2024). Estas tensiones subrayan la necesidad urgente de formar a los estudiantes en competencias críticas que permitan evaluar, contrastar y contextualizar la información generada por sistemas de IAG.</w:t>
      </w:r>
    </w:p>
    <w:p w14:paraId="1635B04E"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3F6FF975"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Es por esto que, el pensamiento crítico cobra una relevancia central. Diversos autores coinciden en que esta competencia no solo implica habilidades cognitivas, sino también disposiciones personales que favorecen el pensamiento razonado, reflexivo y abierto (Ennis, 1996; Facione, 2011). Estas disposiciones, tales como la búsqueda de claridad, la evaluación de fuentes, la toma de postura informada y la voluntad de cambiar de opinión ante argumentos sólidos, son esenciales en contextos académicos mediados por tecnologías emergentes.</w:t>
      </w:r>
    </w:p>
    <w:p w14:paraId="759D3B0D"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45C1C73C" w14:textId="77777777" w:rsidR="00AF5455"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A pesar de los avances recientes, la mayoría de los estudios han privilegiado perspectivas instrumentales o éticas sobre la IAG (García-Peñalvo, 2023; </w:t>
      </w:r>
      <w:proofErr w:type="spellStart"/>
      <w:r w:rsidRPr="003E5A64">
        <w:rPr>
          <w:rFonts w:ascii="Times New Roman" w:hAnsi="Times New Roman" w:cs="Times New Roman"/>
        </w:rPr>
        <w:t>Walczak</w:t>
      </w:r>
      <w:proofErr w:type="spellEnd"/>
      <w:r w:rsidRPr="003E5A64">
        <w:rPr>
          <w:rFonts w:ascii="Times New Roman" w:hAnsi="Times New Roman" w:cs="Times New Roman"/>
        </w:rPr>
        <w:t xml:space="preserve"> &amp; </w:t>
      </w:r>
      <w:proofErr w:type="spellStart"/>
      <w:r w:rsidRPr="003E5A64">
        <w:rPr>
          <w:rFonts w:ascii="Times New Roman" w:hAnsi="Times New Roman" w:cs="Times New Roman"/>
        </w:rPr>
        <w:t>Cellary</w:t>
      </w:r>
      <w:proofErr w:type="spellEnd"/>
      <w:r w:rsidRPr="003E5A64">
        <w:rPr>
          <w:rFonts w:ascii="Times New Roman" w:hAnsi="Times New Roman" w:cs="Times New Roman"/>
        </w:rPr>
        <w:t>, 2023), sin explorar con suficiente profundidad cómo estas tecnologías afectan el desarrollo y activación de disposiciones críticas en los estudiantes. De manera particular,</w:t>
      </w:r>
      <w:r w:rsidRPr="001E357C">
        <w:rPr>
          <w:rFonts w:ascii="Times New Roman" w:hAnsi="Times New Roman" w:cs="Times New Roman"/>
        </w:rPr>
        <w:t xml:space="preserve"> no se han identificado instrumentos psicométricos validados que permitan medir dichas disposiciones en el contexto del uso académico de la IAG. Esto limita la capacidad institucional de diseñar intervenciones pedagógicas basadas en evidencia.</w:t>
      </w:r>
    </w:p>
    <w:p w14:paraId="15E09D10"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36051872"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Este vacío cobra especial relevancia si se consideran los hallazgos recientes de Ruiz-Rojas, Sánchez-González y Morales-Torres (2024), quienes señalan que los estudiantes tienden a utilizar herramientas de IAG como fuentes primarias sin contar con criterios claros de evaluación crítica, lo cual puede limitar su desarrollo intelectual. Ante esta laguna, el presente estudio tuvo como objetivo construir y validar una escala que evalúe las disposiciones cognitivas asociadas al pensamiento crítico en estudiantes universitarios que utilizan herramientas de IAG en sus actividades académicas. La escala se fundamenta teóricamente en el modelo propuesto por Ennis (1996) y fue sometida a un proceso riguroso de validación de contenido y AFE.</w:t>
      </w:r>
    </w:p>
    <w:p w14:paraId="5237DAEC"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7C87AA79"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Este estudio responde a dicha necesidad mediante la construcción y validación de una escala que, además de atender criterios psicométricos rigurosos, permite interpretar el pensamiento crítico desde una perspectiva funcional, situada y adaptada a los desafíos de la educación superior en la era de la IAG.</w:t>
      </w:r>
    </w:p>
    <w:p w14:paraId="072E24EE"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7BA3D4B9"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El artículo se organiza en cinco apartados. En primer lugar, se describe la metodología empleada para la construcción y validación del instrumento; en segundo lugar, se presentan los resultados psicométricos obtenidos; posteriormente, se discuten los hallazgos a la luz del marco teórico; y finalmente, se plantean las conclusiones del estudio y las líneas futuras de investigación.</w:t>
      </w:r>
    </w:p>
    <w:p w14:paraId="175A3303"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5724A548" w14:textId="77777777" w:rsidR="00AF5455" w:rsidRDefault="00AF5455" w:rsidP="003E5A64">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t>Metodología</w:t>
      </w:r>
    </w:p>
    <w:p w14:paraId="5E4576FE" w14:textId="77777777" w:rsidR="003E5A64" w:rsidRPr="001E357C" w:rsidRDefault="003E5A64" w:rsidP="003E5A64">
      <w:pPr>
        <w:tabs>
          <w:tab w:val="left" w:pos="6330"/>
        </w:tabs>
        <w:spacing w:after="0" w:line="240" w:lineRule="auto"/>
        <w:jc w:val="both"/>
        <w:rPr>
          <w:rFonts w:ascii="Times New Roman" w:hAnsi="Times New Roman" w:cs="Times New Roman"/>
          <w:b/>
          <w:bCs/>
        </w:rPr>
      </w:pPr>
    </w:p>
    <w:p w14:paraId="33E5A089" w14:textId="29F2CAA9"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Este estudio se enmarca en un enfoque cuantitativo, con un diseño instrumental orientado a la construcción y validación psicométrica de una escala para evaluar disposiciones al pensamiento crítico en contextos de uso académico de la IAG. La fundamentación teórica se basó en el modelo propuesto por Ennis (1996), el cual define doce componentes actitudinales que configuran una actitud crítica </w:t>
      </w:r>
      <w:r w:rsidRPr="001E357C">
        <w:rPr>
          <w:rFonts w:ascii="Times New Roman" w:hAnsi="Times New Roman" w:cs="Times New Roman"/>
        </w:rPr>
        <w:lastRenderedPageBreak/>
        <w:t xml:space="preserve">consistente. Estas disposiciones, que </w:t>
      </w:r>
      <w:r w:rsidRPr="003E5A64">
        <w:rPr>
          <w:rFonts w:ascii="Times New Roman" w:hAnsi="Times New Roman" w:cs="Times New Roman"/>
        </w:rPr>
        <w:t>sirvieron de base para la redacción de los ítems</w:t>
      </w:r>
      <w:r w:rsidRPr="001E357C">
        <w:rPr>
          <w:rFonts w:ascii="Times New Roman" w:hAnsi="Times New Roman" w:cs="Times New Roman"/>
        </w:rPr>
        <w:t>, se presentan en la Tabla 1.</w:t>
      </w:r>
    </w:p>
    <w:p w14:paraId="6230823E"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0B4C7865" w14:textId="77777777" w:rsidR="00AF5455" w:rsidRPr="003E5A64" w:rsidRDefault="00AF5455" w:rsidP="003E5A64">
      <w:pPr>
        <w:tabs>
          <w:tab w:val="left" w:pos="6330"/>
        </w:tabs>
        <w:spacing w:after="0" w:line="240" w:lineRule="auto"/>
        <w:jc w:val="center"/>
        <w:rPr>
          <w:rFonts w:ascii="Times New Roman" w:hAnsi="Times New Roman" w:cs="Times New Roman"/>
        </w:rPr>
      </w:pPr>
      <w:r w:rsidRPr="003E5A64">
        <w:rPr>
          <w:rFonts w:ascii="Times New Roman" w:hAnsi="Times New Roman" w:cs="Times New Roman"/>
        </w:rPr>
        <w:t>Tabla 1 Disposiciones originales al pensamiento crítico según Ennis (1996)</w:t>
      </w:r>
    </w:p>
    <w:tbl>
      <w:tblPr>
        <w:tblW w:w="0" w:type="auto"/>
        <w:jc w:val="center"/>
        <w:tblCellSpacing w:w="15" w:type="dxa"/>
        <w:tblBorders>
          <w:top w:val="single" w:sz="4" w:space="0" w:color="auto"/>
        </w:tblBorders>
        <w:tblLook w:val="04A0" w:firstRow="1" w:lastRow="0" w:firstColumn="1" w:lastColumn="0" w:noHBand="0" w:noVBand="1"/>
      </w:tblPr>
      <w:tblGrid>
        <w:gridCol w:w="3544"/>
        <w:gridCol w:w="5860"/>
      </w:tblGrid>
      <w:tr w:rsidR="001E357C" w:rsidRPr="001E357C" w14:paraId="61D71AB4" w14:textId="77777777" w:rsidTr="00AF5455">
        <w:trPr>
          <w:tblHeade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0FB37F41"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spellStart"/>
            <w:r w:rsidRPr="001E357C">
              <w:rPr>
                <w:rFonts w:ascii="Times New Roman" w:hAnsi="Times New Roman" w:cs="Times New Roman"/>
                <w:b/>
                <w:bCs/>
                <w:lang w:val="en-US"/>
              </w:rPr>
              <w:t>Disposición</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74259BCE"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spellStart"/>
            <w:r w:rsidRPr="001E357C">
              <w:rPr>
                <w:rFonts w:ascii="Times New Roman" w:hAnsi="Times New Roman" w:cs="Times New Roman"/>
                <w:b/>
                <w:bCs/>
                <w:lang w:val="en-US"/>
              </w:rPr>
              <w:t>Descripción</w:t>
            </w:r>
            <w:proofErr w:type="spellEnd"/>
            <w:r w:rsidRPr="001E357C">
              <w:rPr>
                <w:rFonts w:ascii="Times New Roman" w:hAnsi="Times New Roman" w:cs="Times New Roman"/>
                <w:b/>
                <w:bCs/>
                <w:lang w:val="en-US"/>
              </w:rPr>
              <w:t xml:space="preserve"> breve</w:t>
            </w:r>
          </w:p>
        </w:tc>
      </w:tr>
      <w:tr w:rsidR="001E357C" w:rsidRPr="001E357C" w14:paraId="60F4875F" w14:textId="77777777" w:rsidTr="00AF5455">
        <w:trPr>
          <w:tblCellSpacing w:w="15" w:type="dxa"/>
          <w:jc w:val="center"/>
        </w:trPr>
        <w:tc>
          <w:tcPr>
            <w:tcW w:w="3499" w:type="dxa"/>
            <w:tcBorders>
              <w:top w:val="single" w:sz="4" w:space="0" w:color="auto"/>
              <w:left w:val="nil"/>
              <w:bottom w:val="nil"/>
              <w:right w:val="nil"/>
            </w:tcBorders>
            <w:tcMar>
              <w:top w:w="15" w:type="dxa"/>
              <w:left w:w="15" w:type="dxa"/>
              <w:bottom w:w="15" w:type="dxa"/>
              <w:right w:w="15" w:type="dxa"/>
            </w:tcMar>
            <w:vAlign w:val="center"/>
            <w:hideMark/>
          </w:tcPr>
          <w:p w14:paraId="142868C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claridad</w:t>
            </w:r>
            <w:proofErr w:type="spellEnd"/>
          </w:p>
        </w:tc>
        <w:tc>
          <w:tcPr>
            <w:tcW w:w="5815" w:type="dxa"/>
            <w:tcBorders>
              <w:top w:val="single" w:sz="4" w:space="0" w:color="auto"/>
              <w:left w:val="nil"/>
              <w:bottom w:val="nil"/>
              <w:right w:val="nil"/>
            </w:tcBorders>
            <w:tcMar>
              <w:top w:w="15" w:type="dxa"/>
              <w:left w:w="15" w:type="dxa"/>
              <w:bottom w:w="15" w:type="dxa"/>
              <w:right w:w="15" w:type="dxa"/>
            </w:tcMar>
            <w:vAlign w:val="center"/>
            <w:hideMark/>
          </w:tcPr>
          <w:p w14:paraId="6D473CC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Expresar</w:t>
            </w:r>
            <w:proofErr w:type="spellEnd"/>
            <w:r w:rsidRPr="001E357C">
              <w:rPr>
                <w:rFonts w:ascii="Times New Roman" w:hAnsi="Times New Roman" w:cs="Times New Roman"/>
                <w:lang w:val="en-US"/>
              </w:rPr>
              <w:t xml:space="preserve"> ideas con </w:t>
            </w:r>
            <w:proofErr w:type="spellStart"/>
            <w:r w:rsidRPr="001E357C">
              <w:rPr>
                <w:rFonts w:ascii="Times New Roman" w:hAnsi="Times New Roman" w:cs="Times New Roman"/>
                <w:lang w:val="en-US"/>
              </w:rPr>
              <w:t>precisión</w:t>
            </w:r>
            <w:proofErr w:type="spellEnd"/>
            <w:r w:rsidRPr="001E357C">
              <w:rPr>
                <w:rFonts w:ascii="Times New Roman" w:hAnsi="Times New Roman" w:cs="Times New Roman"/>
                <w:lang w:val="en-US"/>
              </w:rPr>
              <w:t xml:space="preserve">, sin </w:t>
            </w:r>
            <w:proofErr w:type="spellStart"/>
            <w:r w:rsidRPr="001E357C">
              <w:rPr>
                <w:rFonts w:ascii="Times New Roman" w:hAnsi="Times New Roman" w:cs="Times New Roman"/>
                <w:lang w:val="en-US"/>
              </w:rPr>
              <w:t>ambigüedad</w:t>
            </w:r>
            <w:proofErr w:type="spellEnd"/>
            <w:r w:rsidRPr="001E357C">
              <w:rPr>
                <w:rFonts w:ascii="Times New Roman" w:hAnsi="Times New Roman" w:cs="Times New Roman"/>
                <w:lang w:val="en-US"/>
              </w:rPr>
              <w:t>.</w:t>
            </w:r>
          </w:p>
        </w:tc>
      </w:tr>
      <w:tr w:rsidR="001E357C" w:rsidRPr="001E357C" w14:paraId="1E33AC2C"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1FFA2DF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razones</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5BC135A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Fundamentar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afirmaciones</w:t>
            </w:r>
            <w:proofErr w:type="spellEnd"/>
            <w:r w:rsidRPr="001E357C">
              <w:rPr>
                <w:rFonts w:ascii="Times New Roman" w:hAnsi="Times New Roman" w:cs="Times New Roman"/>
                <w:lang w:val="en-US"/>
              </w:rPr>
              <w:t xml:space="preserve"> antes de </w:t>
            </w:r>
            <w:proofErr w:type="spellStart"/>
            <w:r w:rsidRPr="001E357C">
              <w:rPr>
                <w:rFonts w:ascii="Times New Roman" w:hAnsi="Times New Roman" w:cs="Times New Roman"/>
                <w:lang w:val="en-US"/>
              </w:rPr>
              <w:t>aceptarlas</w:t>
            </w:r>
            <w:proofErr w:type="spellEnd"/>
            <w:r w:rsidRPr="001E357C">
              <w:rPr>
                <w:rFonts w:ascii="Times New Roman" w:hAnsi="Times New Roman" w:cs="Times New Roman"/>
                <w:lang w:val="en-US"/>
              </w:rPr>
              <w:t>.</w:t>
            </w:r>
          </w:p>
        </w:tc>
      </w:tr>
      <w:tr w:rsidR="001E357C" w:rsidRPr="001E357C" w14:paraId="30B2D59C"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3F60D46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Ser </w:t>
            </w:r>
            <w:proofErr w:type="spellStart"/>
            <w:r w:rsidRPr="001E357C">
              <w:rPr>
                <w:rFonts w:ascii="Times New Roman" w:hAnsi="Times New Roman" w:cs="Times New Roman"/>
                <w:lang w:val="en-US"/>
              </w:rPr>
              <w:t>persistente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en</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búsqueda</w:t>
            </w:r>
            <w:proofErr w:type="spellEnd"/>
            <w:r w:rsidRPr="001E357C">
              <w:rPr>
                <w:rFonts w:ascii="Times New Roman" w:hAnsi="Times New Roman" w:cs="Times New Roman"/>
                <w:lang w:val="en-US"/>
              </w:rPr>
              <w:t xml:space="preserve"> de la </w:t>
            </w:r>
            <w:proofErr w:type="spellStart"/>
            <w:r w:rsidRPr="001E357C">
              <w:rPr>
                <w:rFonts w:ascii="Times New Roman" w:hAnsi="Times New Roman" w:cs="Times New Roman"/>
                <w:lang w:val="en-US"/>
              </w:rPr>
              <w:t>verdad</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00C2152B"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No </w:t>
            </w:r>
            <w:proofErr w:type="spellStart"/>
            <w:r w:rsidRPr="001E357C">
              <w:rPr>
                <w:rFonts w:ascii="Times New Roman" w:hAnsi="Times New Roman" w:cs="Times New Roman"/>
                <w:lang w:val="en-US"/>
              </w:rPr>
              <w:t>conformarse</w:t>
            </w:r>
            <w:proofErr w:type="spellEnd"/>
            <w:r w:rsidRPr="001E357C">
              <w:rPr>
                <w:rFonts w:ascii="Times New Roman" w:hAnsi="Times New Roman" w:cs="Times New Roman"/>
                <w:lang w:val="en-US"/>
              </w:rPr>
              <w:t xml:space="preserve"> con </w:t>
            </w:r>
            <w:proofErr w:type="spellStart"/>
            <w:r w:rsidRPr="001E357C">
              <w:rPr>
                <w:rFonts w:ascii="Times New Roman" w:hAnsi="Times New Roman" w:cs="Times New Roman"/>
                <w:lang w:val="en-US"/>
              </w:rPr>
              <w:t>respuestas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superficiales</w:t>
            </w:r>
            <w:proofErr w:type="spellEnd"/>
            <w:r w:rsidRPr="001E357C">
              <w:rPr>
                <w:rFonts w:ascii="Times New Roman" w:hAnsi="Times New Roman" w:cs="Times New Roman"/>
                <w:lang w:val="en-US"/>
              </w:rPr>
              <w:t>.</w:t>
            </w:r>
          </w:p>
        </w:tc>
      </w:tr>
      <w:tr w:rsidR="001E357C" w:rsidRPr="001E357C" w14:paraId="1377B82D"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57B983F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Mantener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una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abierta</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0309366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Considerar</w:t>
            </w:r>
            <w:proofErr w:type="spellEnd"/>
            <w:r w:rsidRPr="001E357C">
              <w:rPr>
                <w:rFonts w:ascii="Times New Roman" w:hAnsi="Times New Roman" w:cs="Times New Roman"/>
                <w:lang w:val="en-US"/>
              </w:rPr>
              <w:t xml:space="preserve"> puntos de vista </w:t>
            </w:r>
            <w:proofErr w:type="spellStart"/>
            <w:r w:rsidRPr="001E357C">
              <w:rPr>
                <w:rFonts w:ascii="Times New Roman" w:hAnsi="Times New Roman" w:cs="Times New Roman"/>
                <w:lang w:val="en-US"/>
              </w:rPr>
              <w:t>distintos</w:t>
            </w:r>
            <w:proofErr w:type="spellEnd"/>
            <w:r w:rsidRPr="001E357C">
              <w:rPr>
                <w:rFonts w:ascii="Times New Roman" w:hAnsi="Times New Roman" w:cs="Times New Roman"/>
                <w:lang w:val="en-US"/>
              </w:rPr>
              <w:t xml:space="preserve"> al </w:t>
            </w:r>
            <w:proofErr w:type="spellStart"/>
            <w:r w:rsidRPr="001E357C">
              <w:rPr>
                <w:rFonts w:ascii="Times New Roman" w:hAnsi="Times New Roman" w:cs="Times New Roman"/>
                <w:lang w:val="en-US"/>
              </w:rPr>
              <w:t>propio</w:t>
            </w:r>
            <w:proofErr w:type="spellEnd"/>
            <w:r w:rsidRPr="001E357C">
              <w:rPr>
                <w:rFonts w:ascii="Times New Roman" w:hAnsi="Times New Roman" w:cs="Times New Roman"/>
                <w:lang w:val="en-US"/>
              </w:rPr>
              <w:t>.</w:t>
            </w:r>
          </w:p>
        </w:tc>
      </w:tr>
      <w:tr w:rsidR="001E357C" w:rsidRPr="001E357C" w14:paraId="463E8412"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72E14BC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explicaciones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alternativas</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4824C8F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Analizar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otras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posibles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respuestas</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causas</w:t>
            </w:r>
            <w:proofErr w:type="spellEnd"/>
            <w:r w:rsidRPr="001E357C">
              <w:rPr>
                <w:rFonts w:ascii="Times New Roman" w:hAnsi="Times New Roman" w:cs="Times New Roman"/>
                <w:lang w:val="en-US"/>
              </w:rPr>
              <w:t>.</w:t>
            </w:r>
          </w:p>
        </w:tc>
      </w:tr>
      <w:tr w:rsidR="001E357C" w:rsidRPr="001E357C" w14:paraId="3B1FA366"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675D864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Intentar</w:t>
            </w:r>
            <w:proofErr w:type="spellEnd"/>
            <w:r w:rsidRPr="001E357C">
              <w:rPr>
                <w:rFonts w:ascii="Times New Roman" w:hAnsi="Times New Roman" w:cs="Times New Roman"/>
                <w:lang w:val="en-US"/>
              </w:rPr>
              <w:t xml:space="preserve"> ser bien </w:t>
            </w:r>
            <w:proofErr w:type="spellStart"/>
            <w:r w:rsidRPr="001E357C">
              <w:rPr>
                <w:rFonts w:ascii="Times New Roman" w:hAnsi="Times New Roman" w:cs="Times New Roman"/>
                <w:lang w:val="en-US"/>
              </w:rPr>
              <w:t>informado</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09F5F0B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suficiente</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pertinente</w:t>
            </w:r>
            <w:proofErr w:type="spellEnd"/>
            <w:r w:rsidRPr="001E357C">
              <w:rPr>
                <w:rFonts w:ascii="Times New Roman" w:hAnsi="Times New Roman" w:cs="Times New Roman"/>
                <w:lang w:val="en-US"/>
              </w:rPr>
              <w:t>.</w:t>
            </w:r>
          </w:p>
        </w:tc>
      </w:tr>
      <w:tr w:rsidR="001E357C" w:rsidRPr="001E357C" w14:paraId="73AFB069"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47CC458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Considerar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situación</w:t>
            </w:r>
            <w:proofErr w:type="spellEnd"/>
            <w:r w:rsidRPr="001E357C">
              <w:rPr>
                <w:rFonts w:ascii="Times New Roman" w:hAnsi="Times New Roman" w:cs="Times New Roman"/>
                <w:lang w:val="en-US"/>
              </w:rPr>
              <w:t xml:space="preserve"> total</w:t>
            </w:r>
          </w:p>
        </w:tc>
        <w:tc>
          <w:tcPr>
            <w:tcW w:w="5815" w:type="dxa"/>
            <w:tcBorders>
              <w:top w:val="nil"/>
              <w:left w:val="nil"/>
              <w:bottom w:val="nil"/>
              <w:right w:val="nil"/>
            </w:tcBorders>
            <w:tcMar>
              <w:top w:w="15" w:type="dxa"/>
              <w:left w:w="15" w:type="dxa"/>
              <w:bottom w:w="15" w:type="dxa"/>
              <w:right w:w="15" w:type="dxa"/>
            </w:tcMar>
            <w:vAlign w:val="center"/>
            <w:hideMark/>
          </w:tcPr>
          <w:p w14:paraId="02939B0B"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Comprender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contexto</w:t>
            </w:r>
            <w:proofErr w:type="spellEnd"/>
            <w:r w:rsidRPr="001E357C">
              <w:rPr>
                <w:rFonts w:ascii="Times New Roman" w:hAnsi="Times New Roman" w:cs="Times New Roman"/>
                <w:lang w:val="en-US"/>
              </w:rPr>
              <w:t xml:space="preserve"> de las </w:t>
            </w:r>
            <w:proofErr w:type="spellStart"/>
            <w:r w:rsidRPr="001E357C">
              <w:rPr>
                <w:rFonts w:ascii="Times New Roman" w:hAnsi="Times New Roman" w:cs="Times New Roman"/>
                <w:lang w:val="en-US"/>
              </w:rPr>
              <w:t>afirmaciones</w:t>
            </w:r>
            <w:proofErr w:type="spellEnd"/>
            <w:r w:rsidRPr="001E357C">
              <w:rPr>
                <w:rFonts w:ascii="Times New Roman" w:hAnsi="Times New Roman" w:cs="Times New Roman"/>
                <w:lang w:val="en-US"/>
              </w:rPr>
              <w:t>.</w:t>
            </w:r>
          </w:p>
        </w:tc>
      </w:tr>
      <w:tr w:rsidR="001E357C" w:rsidRPr="001E357C" w14:paraId="3D039BA0"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360FADE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Evaluar</w:t>
            </w:r>
            <w:proofErr w:type="spellEnd"/>
            <w:r w:rsidRPr="001E357C">
              <w:rPr>
                <w:rFonts w:ascii="Times New Roman" w:hAnsi="Times New Roman" w:cs="Times New Roman"/>
                <w:lang w:val="en-US"/>
              </w:rPr>
              <w:t xml:space="preserve"> las </w:t>
            </w:r>
            <w:proofErr w:type="spellStart"/>
            <w:r w:rsidRPr="001E357C">
              <w:rPr>
                <w:rFonts w:ascii="Times New Roman" w:hAnsi="Times New Roman" w:cs="Times New Roman"/>
                <w:lang w:val="en-US"/>
              </w:rPr>
              <w:t>implicaciones</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1290185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Reflexionar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sobre</w:t>
            </w:r>
            <w:proofErr w:type="spellEnd"/>
            <w:r w:rsidRPr="001E357C">
              <w:rPr>
                <w:rFonts w:ascii="Times New Roman" w:hAnsi="Times New Roman" w:cs="Times New Roman"/>
                <w:lang w:val="en-US"/>
              </w:rPr>
              <w:t xml:space="preserve"> las </w:t>
            </w:r>
            <w:proofErr w:type="spellStart"/>
            <w:r w:rsidRPr="001E357C">
              <w:rPr>
                <w:rFonts w:ascii="Times New Roman" w:hAnsi="Times New Roman" w:cs="Times New Roman"/>
                <w:lang w:val="en-US"/>
              </w:rPr>
              <w:t>consecuencias</w:t>
            </w:r>
            <w:proofErr w:type="spellEnd"/>
            <w:r w:rsidRPr="001E357C">
              <w:rPr>
                <w:rFonts w:ascii="Times New Roman" w:hAnsi="Times New Roman" w:cs="Times New Roman"/>
                <w:lang w:val="en-US"/>
              </w:rPr>
              <w:t xml:space="preserve"> de las ideas.</w:t>
            </w:r>
          </w:p>
        </w:tc>
      </w:tr>
      <w:tr w:rsidR="001E357C" w:rsidRPr="001E357C" w14:paraId="13D47A17"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4E761BE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Preocuparse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exactitud</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2419FB9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Verificar</w:t>
            </w:r>
            <w:proofErr w:type="spellEnd"/>
            <w:r w:rsidRPr="001E357C">
              <w:rPr>
                <w:rFonts w:ascii="Times New Roman" w:hAnsi="Times New Roman" w:cs="Times New Roman"/>
                <w:lang w:val="en-US"/>
              </w:rPr>
              <w:t xml:space="preserve"> que </w:t>
            </w:r>
            <w:proofErr w:type="spellStart"/>
            <w:r w:rsidRPr="001E357C">
              <w:rPr>
                <w:rFonts w:ascii="Times New Roman" w:hAnsi="Times New Roman" w:cs="Times New Roman"/>
                <w:lang w:val="en-US"/>
              </w:rPr>
              <w:t>los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datos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sean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correctos</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comprobables</w:t>
            </w:r>
            <w:proofErr w:type="spellEnd"/>
            <w:r w:rsidRPr="001E357C">
              <w:rPr>
                <w:rFonts w:ascii="Times New Roman" w:hAnsi="Times New Roman" w:cs="Times New Roman"/>
                <w:lang w:val="en-US"/>
              </w:rPr>
              <w:t>.</w:t>
            </w:r>
          </w:p>
        </w:tc>
      </w:tr>
      <w:tr w:rsidR="001E357C" w:rsidRPr="001E357C" w14:paraId="27BD2678"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595C6F5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Ser sensible al </w:t>
            </w:r>
            <w:proofErr w:type="spellStart"/>
            <w:r w:rsidRPr="001E357C">
              <w:rPr>
                <w:rFonts w:ascii="Times New Roman" w:hAnsi="Times New Roman" w:cs="Times New Roman"/>
                <w:lang w:val="en-US"/>
              </w:rPr>
              <w:t>nivel</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detalle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necesario</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4A2926A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Ajustar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profundidad</w:t>
            </w:r>
            <w:proofErr w:type="spellEnd"/>
            <w:r w:rsidRPr="001E357C">
              <w:rPr>
                <w:rFonts w:ascii="Times New Roman" w:hAnsi="Times New Roman" w:cs="Times New Roman"/>
                <w:lang w:val="en-US"/>
              </w:rPr>
              <w:t xml:space="preserve"> de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según</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necesidad</w:t>
            </w:r>
            <w:proofErr w:type="spellEnd"/>
            <w:r w:rsidRPr="001E357C">
              <w:rPr>
                <w:rFonts w:ascii="Times New Roman" w:hAnsi="Times New Roman" w:cs="Times New Roman"/>
                <w:lang w:val="en-US"/>
              </w:rPr>
              <w:t xml:space="preserve"> del </w:t>
            </w:r>
            <w:proofErr w:type="spellStart"/>
            <w:r w:rsidRPr="001E357C">
              <w:rPr>
                <w:rFonts w:ascii="Times New Roman" w:hAnsi="Times New Roman" w:cs="Times New Roman"/>
                <w:lang w:val="en-US"/>
              </w:rPr>
              <w:t>problema</w:t>
            </w:r>
            <w:proofErr w:type="spellEnd"/>
            <w:r w:rsidRPr="001E357C">
              <w:rPr>
                <w:rFonts w:ascii="Times New Roman" w:hAnsi="Times New Roman" w:cs="Times New Roman"/>
                <w:lang w:val="en-US"/>
              </w:rPr>
              <w:t>.</w:t>
            </w:r>
          </w:p>
        </w:tc>
      </w:tr>
      <w:tr w:rsidR="001E357C" w:rsidRPr="001E357C" w14:paraId="1299C8C5" w14:textId="77777777" w:rsidTr="00AF5455">
        <w:trPr>
          <w:tblCellSpacing w:w="15" w:type="dxa"/>
          <w:jc w:val="center"/>
        </w:trPr>
        <w:tc>
          <w:tcPr>
            <w:tcW w:w="3499" w:type="dxa"/>
            <w:tcBorders>
              <w:top w:val="nil"/>
              <w:left w:val="nil"/>
              <w:bottom w:val="nil"/>
              <w:right w:val="nil"/>
            </w:tcBorders>
            <w:tcMar>
              <w:top w:w="15" w:type="dxa"/>
              <w:left w:w="15" w:type="dxa"/>
              <w:bottom w:w="15" w:type="dxa"/>
              <w:right w:w="15" w:type="dxa"/>
            </w:tcMar>
            <w:vAlign w:val="center"/>
            <w:hideMark/>
          </w:tcPr>
          <w:p w14:paraId="1E7993D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Usar </w:t>
            </w:r>
            <w:proofErr w:type="spellStart"/>
            <w:r w:rsidRPr="001E357C">
              <w:rPr>
                <w:rFonts w:ascii="Times New Roman" w:hAnsi="Times New Roman" w:cs="Times New Roman"/>
                <w:lang w:val="en-US"/>
              </w:rPr>
              <w:t>fuentes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creíbles</w:t>
            </w:r>
            <w:proofErr w:type="spellEnd"/>
          </w:p>
        </w:tc>
        <w:tc>
          <w:tcPr>
            <w:tcW w:w="5815" w:type="dxa"/>
            <w:tcBorders>
              <w:top w:val="nil"/>
              <w:left w:val="nil"/>
              <w:bottom w:val="nil"/>
              <w:right w:val="nil"/>
            </w:tcBorders>
            <w:tcMar>
              <w:top w:w="15" w:type="dxa"/>
              <w:left w:w="15" w:type="dxa"/>
              <w:bottom w:w="15" w:type="dxa"/>
              <w:right w:w="15" w:type="dxa"/>
            </w:tcMar>
            <w:vAlign w:val="center"/>
            <w:hideMark/>
          </w:tcPr>
          <w:p w14:paraId="3929C5E6"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Basarse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confiable</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verificable</w:t>
            </w:r>
            <w:proofErr w:type="spellEnd"/>
            <w:r w:rsidRPr="001E357C">
              <w:rPr>
                <w:rFonts w:ascii="Times New Roman" w:hAnsi="Times New Roman" w:cs="Times New Roman"/>
                <w:lang w:val="en-US"/>
              </w:rPr>
              <w:t>.</w:t>
            </w:r>
          </w:p>
        </w:tc>
      </w:tr>
      <w:tr w:rsidR="001E357C" w:rsidRPr="001E357C" w14:paraId="59596A3A" w14:textId="77777777" w:rsidTr="00AF5455">
        <w:trPr>
          <w:tblCellSpacing w:w="15" w:type="dxa"/>
          <w:jc w:val="center"/>
        </w:trPr>
        <w:tc>
          <w:tcPr>
            <w:tcW w:w="3499" w:type="dxa"/>
            <w:tcBorders>
              <w:top w:val="nil"/>
              <w:left w:val="nil"/>
              <w:bottom w:val="single" w:sz="4" w:space="0" w:color="auto"/>
              <w:right w:val="nil"/>
            </w:tcBorders>
            <w:tcMar>
              <w:top w:w="15" w:type="dxa"/>
              <w:left w:w="15" w:type="dxa"/>
              <w:bottom w:w="15" w:type="dxa"/>
              <w:right w:w="15" w:type="dxa"/>
            </w:tcMar>
            <w:vAlign w:val="center"/>
            <w:hideMark/>
          </w:tcPr>
          <w:p w14:paraId="30B7FA98"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Adaptarse</w:t>
            </w:r>
            <w:proofErr w:type="spellEnd"/>
            <w:r w:rsidRPr="001E357C">
              <w:rPr>
                <w:rFonts w:ascii="Times New Roman" w:hAnsi="Times New Roman" w:cs="Times New Roman"/>
                <w:lang w:val="en-US"/>
              </w:rPr>
              <w:t xml:space="preserve"> a </w:t>
            </w:r>
            <w:proofErr w:type="spellStart"/>
            <w:r w:rsidRPr="001E357C">
              <w:rPr>
                <w:rFonts w:ascii="Times New Roman" w:hAnsi="Times New Roman" w:cs="Times New Roman"/>
                <w:lang w:val="en-US"/>
              </w:rPr>
              <w:t>nuevas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situaciones</w:t>
            </w:r>
            <w:proofErr w:type="spellEnd"/>
          </w:p>
        </w:tc>
        <w:tc>
          <w:tcPr>
            <w:tcW w:w="5815" w:type="dxa"/>
            <w:tcBorders>
              <w:top w:val="nil"/>
              <w:left w:val="nil"/>
              <w:bottom w:val="single" w:sz="4" w:space="0" w:color="auto"/>
              <w:right w:val="nil"/>
            </w:tcBorders>
            <w:tcMar>
              <w:top w:w="15" w:type="dxa"/>
              <w:left w:w="15" w:type="dxa"/>
              <w:bottom w:w="15" w:type="dxa"/>
              <w:right w:w="15" w:type="dxa"/>
            </w:tcMar>
            <w:vAlign w:val="center"/>
            <w:hideMark/>
          </w:tcPr>
          <w:p w14:paraId="1D15689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Cambiar</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opinión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cuando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haya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razones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válidas</w:t>
            </w:r>
            <w:proofErr w:type="spellEnd"/>
            <w:r w:rsidRPr="001E357C">
              <w:rPr>
                <w:rFonts w:ascii="Times New Roman" w:hAnsi="Times New Roman" w:cs="Times New Roman"/>
                <w:lang w:val="en-US"/>
              </w:rPr>
              <w:t>.</w:t>
            </w:r>
          </w:p>
        </w:tc>
      </w:tr>
    </w:tbl>
    <w:p w14:paraId="564D0DF5" w14:textId="7C5F66AB" w:rsidR="00AF5455" w:rsidRDefault="00AF5455" w:rsidP="003E5A64">
      <w:pPr>
        <w:tabs>
          <w:tab w:val="left" w:pos="6330"/>
        </w:tabs>
        <w:spacing w:after="0" w:line="240" w:lineRule="auto"/>
        <w:jc w:val="center"/>
        <w:rPr>
          <w:rFonts w:ascii="Times New Roman" w:hAnsi="Times New Roman" w:cs="Times New Roman"/>
        </w:rPr>
      </w:pPr>
      <w:r w:rsidRPr="001E357C">
        <w:rPr>
          <w:rFonts w:ascii="Times New Roman" w:hAnsi="Times New Roman" w:cs="Times New Roman"/>
          <w:i/>
          <w:iCs/>
        </w:rPr>
        <w:t xml:space="preserve">Fuente: </w:t>
      </w:r>
      <w:r w:rsidRPr="001E357C">
        <w:rPr>
          <w:rFonts w:ascii="Times New Roman" w:hAnsi="Times New Roman" w:cs="Times New Roman"/>
        </w:rPr>
        <w:t>Adaptado de Ennis, R. H. (1996).</w:t>
      </w:r>
    </w:p>
    <w:p w14:paraId="3989F3EC" w14:textId="77777777" w:rsidR="003E5A64" w:rsidRPr="001E357C" w:rsidRDefault="003E5A64" w:rsidP="003E5A64">
      <w:pPr>
        <w:tabs>
          <w:tab w:val="left" w:pos="6330"/>
        </w:tabs>
        <w:spacing w:after="0" w:line="240" w:lineRule="auto"/>
        <w:jc w:val="both"/>
        <w:rPr>
          <w:rFonts w:ascii="Times New Roman" w:hAnsi="Times New Roman" w:cs="Times New Roman"/>
          <w:i/>
          <w:iCs/>
        </w:rPr>
      </w:pPr>
    </w:p>
    <w:p w14:paraId="651D5681"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A partir de dichas disposiciones, se construyeron 36 ítems iniciales, redactados en primera persona y contextualizados al uso académico de herramientas como </w:t>
      </w:r>
      <w:proofErr w:type="spellStart"/>
      <w:r w:rsidRPr="001E357C">
        <w:rPr>
          <w:rFonts w:ascii="Times New Roman" w:hAnsi="Times New Roman" w:cs="Times New Roman"/>
          <w:i/>
        </w:rPr>
        <w:t>ChatGPT</w:t>
      </w:r>
      <w:proofErr w:type="spellEnd"/>
      <w:r w:rsidRPr="001E357C">
        <w:rPr>
          <w:rFonts w:ascii="Times New Roman" w:hAnsi="Times New Roman" w:cs="Times New Roman"/>
          <w:i/>
        </w:rPr>
        <w:t xml:space="preserve">, Bing o Gemini. </w:t>
      </w:r>
      <w:r w:rsidRPr="001E357C">
        <w:rPr>
          <w:rFonts w:ascii="Times New Roman" w:hAnsi="Times New Roman" w:cs="Times New Roman"/>
        </w:rPr>
        <w:t>Cada</w:t>
      </w:r>
      <w:r w:rsidRPr="001E357C">
        <w:rPr>
          <w:rFonts w:ascii="Times New Roman" w:hAnsi="Times New Roman" w:cs="Times New Roman"/>
          <w:i/>
        </w:rPr>
        <w:t xml:space="preserve"> </w:t>
      </w:r>
      <w:r w:rsidRPr="001E357C">
        <w:rPr>
          <w:rFonts w:ascii="Times New Roman" w:hAnsi="Times New Roman" w:cs="Times New Roman"/>
        </w:rPr>
        <w:t>disposición fue representada por tres ítems, formulados en lenguaje afirmativo y observacional, con el fin de facilitar la autorreflexión y la medición directa.</w:t>
      </w:r>
    </w:p>
    <w:p w14:paraId="25F4B4C3"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318C7F49"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En la primera etapa del proceso se realizó una validación de contenido por juicio de expertos. Participaron tres académicas especialistas en evaluación educativa, pedagogía y formación docente, quienes evaluaron cada ítem en términos de claridad, congruencia teórica, pertinencia del lenguaje y relevancia. Para el análisis cuantitativo se empleó el Coeficiente de Validez de Contenido (CVC) propuesto por Hernández-Nieto (2002), obteniéndose un valor promedio de .94, considerado excelente. Con base en las sugerencias cualitativas se reformularon enunciados, eliminando ambigüedades y asegurando redacciones claras y unívocas.</w:t>
      </w:r>
    </w:p>
    <w:p w14:paraId="79744AA4"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75FBE6FD"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La versión ajustada fue aplicada a una muestra no probabilística de 176 estudiantes de licenciatura del área de Ciencias Sociales y Humanidades, mediante un formulario digital administrado durante el primer trimestre de 2025. La participación fue voluntaria, anónima y precedida de consentimiento informado</w:t>
      </w:r>
      <w:r w:rsidRPr="001E357C">
        <w:rPr>
          <w:rFonts w:ascii="Times New Roman" w:hAnsi="Times New Roman" w:cs="Times New Roman"/>
          <w:b/>
        </w:rPr>
        <w:t xml:space="preserve">. </w:t>
      </w:r>
      <w:r w:rsidRPr="003E5A64">
        <w:rPr>
          <w:rFonts w:ascii="Times New Roman" w:hAnsi="Times New Roman" w:cs="Times New Roman"/>
        </w:rPr>
        <w:t>Dos ítems fueron eliminados por presentar una correlación ítem-total inferior a .30, criterio psicométrico comúnmente aceptado para depurar instrumentos (Muñiz &amp; Fonseca-Pedrero, 2019). Por tanto, el análisis psicométrico se realizó sobre un total de 34 ítems.</w:t>
      </w:r>
    </w:p>
    <w:p w14:paraId="7551B0E8"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5BD95F16"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Se llevó a cabo un análisis factorial exploratorio (AFE) mediante el método de extracción de ejes principales con rotación </w:t>
      </w:r>
      <w:proofErr w:type="spellStart"/>
      <w:r w:rsidRPr="003E5A64">
        <w:rPr>
          <w:rFonts w:ascii="Times New Roman" w:hAnsi="Times New Roman" w:cs="Times New Roman"/>
        </w:rPr>
        <w:t>oblimin</w:t>
      </w:r>
      <w:proofErr w:type="spellEnd"/>
      <w:r w:rsidRPr="003E5A64">
        <w:rPr>
          <w:rFonts w:ascii="Times New Roman" w:hAnsi="Times New Roman" w:cs="Times New Roman"/>
        </w:rPr>
        <w:t>, en atención a las correlaciones esperadas entre factores conceptualmente relacionados.</w:t>
      </w:r>
      <w:r w:rsidRPr="001E357C">
        <w:rPr>
          <w:rFonts w:ascii="Times New Roman" w:hAnsi="Times New Roman" w:cs="Times New Roman"/>
          <w:b/>
          <w:bCs/>
        </w:rPr>
        <w:t xml:space="preserve"> </w:t>
      </w:r>
      <w:r w:rsidRPr="001E357C">
        <w:rPr>
          <w:rFonts w:ascii="Times New Roman" w:hAnsi="Times New Roman" w:cs="Times New Roman"/>
        </w:rPr>
        <w:t xml:space="preserve">Esta técnica resulta adecuada en fases iniciales de validación de </w:t>
      </w:r>
      <w:r w:rsidRPr="001E357C">
        <w:rPr>
          <w:rFonts w:ascii="Times New Roman" w:hAnsi="Times New Roman" w:cs="Times New Roman"/>
        </w:rPr>
        <w:lastRenderedPageBreak/>
        <w:t xml:space="preserve">instrumentos, ya que permite identificar estructuras latentes sin imponer restricciones previas al modelo (Lloret-Segura et al., 2014; Ferrando &amp; Lorenzo-Seva, 2017). Esta decisión se fundamenta en las recomendaciones de Lloret-Segura et al. (2014), quienes proponen este enfoque como el más adecuado para estructuras latentes correlacionadas. También se atendieron los lineamientos de Ferrando y Anguiano-Carrasco (2010), quienes sugieren evaluar empíricamente la </w:t>
      </w:r>
      <w:proofErr w:type="spellStart"/>
      <w:r w:rsidRPr="001E357C">
        <w:rPr>
          <w:rFonts w:ascii="Times New Roman" w:hAnsi="Times New Roman" w:cs="Times New Roman"/>
        </w:rPr>
        <w:t>unidimensionalidad</w:t>
      </w:r>
      <w:proofErr w:type="spellEnd"/>
      <w:r w:rsidRPr="001E357C">
        <w:rPr>
          <w:rFonts w:ascii="Times New Roman" w:hAnsi="Times New Roman" w:cs="Times New Roman"/>
        </w:rPr>
        <w:t xml:space="preserve"> de bloques conceptuales cuando se parte de modelos teóricos bien definidos. El AFE global arrojó un </w:t>
      </w:r>
      <w:r w:rsidRPr="003E5A64">
        <w:rPr>
          <w:rFonts w:ascii="Times New Roman" w:hAnsi="Times New Roman" w:cs="Times New Roman"/>
        </w:rPr>
        <w:t>índice KMO de .933 y una prueba de esfericidad de Bartlett significativa (p &lt; .001), lo cual confirmó la pertinencia del análisis al evidenciar relaciones robustas entre variables.</w:t>
      </w:r>
    </w:p>
    <w:p w14:paraId="4AC2378A"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3D21AD7A"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Sin embargo, la estructura bifactorial emergente no reflejaba adecuadamente la división teórica original en doce disposiciones. Ante esta discrepancia, se optó por realizar el AFE por bloques, siguiendo la recomendación metodológica de Méndez Martínez y Rondón Sepúlveda (2012), quienes indican esta técnica como apropiada cuando se parte de una estructura teórica previa y se busca evaluar empíricamente la </w:t>
      </w:r>
      <w:proofErr w:type="spellStart"/>
      <w:r w:rsidRPr="003E5A64">
        <w:rPr>
          <w:rFonts w:ascii="Times New Roman" w:hAnsi="Times New Roman" w:cs="Times New Roman"/>
        </w:rPr>
        <w:t>unidimensionalidad</w:t>
      </w:r>
      <w:proofErr w:type="spellEnd"/>
      <w:r w:rsidRPr="003E5A64">
        <w:rPr>
          <w:rFonts w:ascii="Times New Roman" w:hAnsi="Times New Roman" w:cs="Times New Roman"/>
        </w:rPr>
        <w:t xml:space="preserve"> específica de subdimensiones conceptuales, como es el caso del modelo de Ennis.</w:t>
      </w:r>
    </w:p>
    <w:p w14:paraId="1073A5C2"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5008FD08"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Los resultados permitieron reagrupar diez de las doce disposiciones originales en cuatro factores emergentes con afinidad conceptual y consistencia estadística. Las disposiciones “definir términos” y “preguntar y responder con precisión y relevancia” </w:t>
      </w:r>
      <w:proofErr w:type="spellStart"/>
      <w:r w:rsidRPr="003E5A64">
        <w:rPr>
          <w:rFonts w:ascii="Times New Roman" w:hAnsi="Times New Roman" w:cs="Times New Roman"/>
        </w:rPr>
        <w:t>ueron</w:t>
      </w:r>
      <w:proofErr w:type="spellEnd"/>
      <w:r w:rsidRPr="003E5A64">
        <w:rPr>
          <w:rFonts w:ascii="Times New Roman" w:hAnsi="Times New Roman" w:cs="Times New Roman"/>
        </w:rPr>
        <w:t xml:space="preserve"> excluidas debido a cargas factoriales bajas y comunalidades por debajo del umbral aceptable, indicando una aportación limitada al modelo. La Tabla 2 presenta la estructura final del instrumento, con cuatro factores emergentes derivados del análisis factorial. El alfa de Cronbach global de la escala fue de .951, indicando una excelente consistencia interna para los 21 ítems que la componen. Este coeficiente es uno de los indicadores más ampliamente aceptados para evaluar la fiabilidad interna de escalas en psicología y educación, especialmente en diseños instrumentales (Oviedo &amp; Campo-Arias, 2005).</w:t>
      </w:r>
    </w:p>
    <w:p w14:paraId="158C858C"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03E00256" w14:textId="77777777" w:rsidR="00AF5455" w:rsidRDefault="00AF5455" w:rsidP="003E5A64">
      <w:pPr>
        <w:tabs>
          <w:tab w:val="left" w:pos="6330"/>
        </w:tabs>
        <w:spacing w:after="0" w:line="240" w:lineRule="auto"/>
        <w:jc w:val="both"/>
        <w:rPr>
          <w:rFonts w:ascii="Times New Roman" w:hAnsi="Times New Roman" w:cs="Times New Roman"/>
          <w:bCs/>
        </w:rPr>
      </w:pPr>
      <w:r w:rsidRPr="003E5A64">
        <w:rPr>
          <w:rFonts w:ascii="Times New Roman" w:hAnsi="Times New Roman" w:cs="Times New Roman"/>
        </w:rPr>
        <w:t xml:space="preserve">Tabla 2 </w:t>
      </w:r>
      <w:r w:rsidRPr="001E357C">
        <w:rPr>
          <w:rFonts w:ascii="Times New Roman" w:hAnsi="Times New Roman" w:cs="Times New Roman"/>
          <w:bCs/>
        </w:rPr>
        <w:t>Estructura final del instrumento validado: factores, disposiciones integradas, número de ítems y alfa de Cronbach</w:t>
      </w:r>
    </w:p>
    <w:p w14:paraId="054A9E88" w14:textId="77777777" w:rsidR="003E5A64" w:rsidRPr="001E357C" w:rsidRDefault="003E5A64" w:rsidP="003E5A64">
      <w:pPr>
        <w:tabs>
          <w:tab w:val="left" w:pos="6330"/>
        </w:tabs>
        <w:spacing w:after="0" w:line="240" w:lineRule="auto"/>
        <w:jc w:val="both"/>
        <w:rPr>
          <w:rFonts w:ascii="Times New Roman" w:hAnsi="Times New Roman" w:cs="Times New Roman"/>
        </w:rPr>
      </w:pPr>
    </w:p>
    <w:tbl>
      <w:tblPr>
        <w:tblW w:w="0" w:type="auto"/>
        <w:tblCellSpacing w:w="15" w:type="dxa"/>
        <w:tblLook w:val="04A0" w:firstRow="1" w:lastRow="0" w:firstColumn="1" w:lastColumn="0" w:noHBand="0" w:noVBand="1"/>
      </w:tblPr>
      <w:tblGrid>
        <w:gridCol w:w="2709"/>
        <w:gridCol w:w="4626"/>
        <w:gridCol w:w="945"/>
        <w:gridCol w:w="1501"/>
      </w:tblGrid>
      <w:tr w:rsidR="001E357C" w:rsidRPr="001E357C" w14:paraId="7618A31C" w14:textId="77777777" w:rsidTr="00AF5455">
        <w:trPr>
          <w:tblHeade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3C65C55"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r w:rsidRPr="001E357C">
              <w:rPr>
                <w:rFonts w:ascii="Times New Roman" w:hAnsi="Times New Roman" w:cs="Times New Roman"/>
                <w:b/>
                <w:bCs/>
                <w:lang w:val="en-US"/>
              </w:rPr>
              <w:t xml:space="preserve">Factor </w:t>
            </w:r>
            <w:proofErr w:type="spellStart"/>
            <w:r w:rsidRPr="001E357C">
              <w:rPr>
                <w:rFonts w:ascii="Times New Roman" w:hAnsi="Times New Roman" w:cs="Times New Roman"/>
                <w:b/>
                <w:bCs/>
                <w:lang w:val="en-US"/>
              </w:rPr>
              <w:t>emergente</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BD10079"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spellStart"/>
            <w:r w:rsidRPr="001E357C">
              <w:rPr>
                <w:rFonts w:ascii="Times New Roman" w:hAnsi="Times New Roman" w:cs="Times New Roman"/>
                <w:b/>
                <w:bCs/>
                <w:lang w:val="en-US"/>
              </w:rPr>
              <w:t>Disposiciones</w:t>
            </w:r>
            <w:proofErr w:type="spellEnd"/>
            <w:r w:rsidRPr="001E357C">
              <w:rPr>
                <w:rFonts w:ascii="Times New Roman" w:hAnsi="Times New Roman" w:cs="Times New Roman"/>
                <w:b/>
                <w:bCs/>
                <w:lang w:val="en-US"/>
              </w:rPr>
              <w:t xml:space="preserve"> de Ennis </w:t>
            </w:r>
            <w:proofErr w:type="spellStart"/>
            <w:r w:rsidRPr="001E357C">
              <w:rPr>
                <w:rFonts w:ascii="Times New Roman" w:hAnsi="Times New Roman" w:cs="Times New Roman"/>
                <w:b/>
                <w:bCs/>
                <w:lang w:val="en-US"/>
              </w:rPr>
              <w:t>integradas</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C0BE266"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gramStart"/>
            <w:r w:rsidRPr="001E357C">
              <w:rPr>
                <w:rFonts w:ascii="Times New Roman" w:hAnsi="Times New Roman" w:cs="Times New Roman"/>
                <w:b/>
                <w:bCs/>
                <w:lang w:val="en-US"/>
              </w:rPr>
              <w:t>N.º</w:t>
            </w:r>
            <w:proofErr w:type="gramEnd"/>
            <w:r w:rsidRPr="001E357C">
              <w:rPr>
                <w:rFonts w:ascii="Times New Roman" w:hAnsi="Times New Roman" w:cs="Times New Roman"/>
                <w:b/>
                <w:bCs/>
                <w:lang w:val="en-US"/>
              </w:rPr>
              <w:t xml:space="preserve"> de </w:t>
            </w:r>
            <w:proofErr w:type="spellStart"/>
            <w:r w:rsidRPr="001E357C">
              <w:rPr>
                <w:rFonts w:ascii="Times New Roman" w:hAnsi="Times New Roman" w:cs="Times New Roman"/>
                <w:b/>
                <w:bCs/>
                <w:lang w:val="en-US"/>
              </w:rPr>
              <w:t>ítems</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EF91EA0"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r w:rsidRPr="001E357C">
              <w:rPr>
                <w:rFonts w:ascii="Times New Roman" w:hAnsi="Times New Roman" w:cs="Times New Roman"/>
                <w:b/>
                <w:bCs/>
                <w:lang w:val="en-US"/>
              </w:rPr>
              <w:t>Alfa de Cronbach</w:t>
            </w:r>
          </w:p>
        </w:tc>
      </w:tr>
      <w:tr w:rsidR="001E357C" w:rsidRPr="001E357C" w14:paraId="392A27E0" w14:textId="77777777" w:rsidTr="00AF5455">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A3651D9"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Rigor </w:t>
            </w:r>
            <w:proofErr w:type="spellStart"/>
            <w:r w:rsidRPr="001E357C">
              <w:rPr>
                <w:rFonts w:ascii="Times New Roman" w:hAnsi="Times New Roman" w:cs="Times New Roman"/>
                <w:lang w:val="en-US"/>
              </w:rPr>
              <w:t>en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proceso</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indagación</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0EEC23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claridad</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razones</w:t>
            </w:r>
            <w:proofErr w:type="spellEnd"/>
            <w:r w:rsidRPr="001E357C">
              <w:rPr>
                <w:rFonts w:ascii="Times New Roman" w:hAnsi="Times New Roman" w:cs="Times New Roman"/>
                <w:lang w:val="en-US"/>
              </w:rPr>
              <w:t xml:space="preserve">, Ser </w:t>
            </w:r>
            <w:proofErr w:type="spellStart"/>
            <w:r w:rsidRPr="001E357C">
              <w:rPr>
                <w:rFonts w:ascii="Times New Roman" w:hAnsi="Times New Roman" w:cs="Times New Roman"/>
                <w:lang w:val="en-US"/>
              </w:rPr>
              <w:t>persistente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en</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búsqueda</w:t>
            </w:r>
            <w:proofErr w:type="spellEnd"/>
            <w:r w:rsidRPr="001E357C">
              <w:rPr>
                <w:rFonts w:ascii="Times New Roman" w:hAnsi="Times New Roman" w:cs="Times New Roman"/>
                <w:lang w:val="en-US"/>
              </w:rPr>
              <w:t xml:space="preserve"> de la </w:t>
            </w:r>
            <w:proofErr w:type="spellStart"/>
            <w:r w:rsidRPr="001E357C">
              <w:rPr>
                <w:rFonts w:ascii="Times New Roman" w:hAnsi="Times New Roman" w:cs="Times New Roman"/>
                <w:lang w:val="en-US"/>
              </w:rPr>
              <w:t>verdad</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29E277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5</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685C54B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.848</w:t>
            </w:r>
          </w:p>
        </w:tc>
      </w:tr>
      <w:tr w:rsidR="001E357C" w:rsidRPr="001E357C" w14:paraId="6A42DDC1" w14:textId="77777777" w:rsidTr="00AF5455">
        <w:trPr>
          <w:tblCellSpacing w:w="15" w:type="dxa"/>
        </w:trPr>
        <w:tc>
          <w:tcPr>
            <w:tcW w:w="0" w:type="auto"/>
            <w:tcMar>
              <w:top w:w="15" w:type="dxa"/>
              <w:left w:w="15" w:type="dxa"/>
              <w:bottom w:w="15" w:type="dxa"/>
              <w:right w:w="15" w:type="dxa"/>
            </w:tcMar>
            <w:vAlign w:val="center"/>
            <w:hideMark/>
          </w:tcPr>
          <w:p w14:paraId="214895D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Flexibilidad</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cognitiva</w:t>
            </w:r>
            <w:proofErr w:type="spellEnd"/>
          </w:p>
        </w:tc>
        <w:tc>
          <w:tcPr>
            <w:tcW w:w="0" w:type="auto"/>
            <w:tcMar>
              <w:top w:w="15" w:type="dxa"/>
              <w:left w:w="15" w:type="dxa"/>
              <w:bottom w:w="15" w:type="dxa"/>
              <w:right w:w="15" w:type="dxa"/>
            </w:tcMar>
            <w:vAlign w:val="center"/>
            <w:hideMark/>
          </w:tcPr>
          <w:p w14:paraId="78A92E4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Mantener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una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abierta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explicaciones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alternativas</w:t>
            </w:r>
            <w:proofErr w:type="spellEnd"/>
          </w:p>
        </w:tc>
        <w:tc>
          <w:tcPr>
            <w:tcW w:w="0" w:type="auto"/>
            <w:tcMar>
              <w:top w:w="15" w:type="dxa"/>
              <w:left w:w="15" w:type="dxa"/>
              <w:bottom w:w="15" w:type="dxa"/>
              <w:right w:w="15" w:type="dxa"/>
            </w:tcMar>
            <w:vAlign w:val="center"/>
            <w:hideMark/>
          </w:tcPr>
          <w:p w14:paraId="0D62079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4</w:t>
            </w:r>
          </w:p>
        </w:tc>
        <w:tc>
          <w:tcPr>
            <w:tcW w:w="0" w:type="auto"/>
            <w:tcMar>
              <w:top w:w="15" w:type="dxa"/>
              <w:left w:w="15" w:type="dxa"/>
              <w:bottom w:w="15" w:type="dxa"/>
              <w:right w:w="15" w:type="dxa"/>
            </w:tcMar>
            <w:vAlign w:val="center"/>
            <w:hideMark/>
          </w:tcPr>
          <w:p w14:paraId="04CA91A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.778</w:t>
            </w:r>
          </w:p>
        </w:tc>
      </w:tr>
      <w:tr w:rsidR="001E357C" w:rsidRPr="001E357C" w14:paraId="3112574E" w14:textId="77777777" w:rsidTr="00AF5455">
        <w:trPr>
          <w:tblCellSpacing w:w="15" w:type="dxa"/>
        </w:trPr>
        <w:tc>
          <w:tcPr>
            <w:tcW w:w="0" w:type="auto"/>
            <w:tcMar>
              <w:top w:w="15" w:type="dxa"/>
              <w:left w:w="15" w:type="dxa"/>
              <w:bottom w:w="15" w:type="dxa"/>
              <w:right w:w="15" w:type="dxa"/>
            </w:tcMar>
            <w:vAlign w:val="center"/>
            <w:hideMark/>
          </w:tcPr>
          <w:p w14:paraId="22421B6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Pensamiento </w:t>
            </w:r>
            <w:proofErr w:type="spellStart"/>
            <w:r w:rsidRPr="001E357C">
              <w:rPr>
                <w:rFonts w:ascii="Times New Roman" w:hAnsi="Times New Roman" w:cs="Times New Roman"/>
                <w:lang w:val="en-US"/>
              </w:rPr>
              <w:t>reflexivo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contextualizado</w:t>
            </w:r>
            <w:proofErr w:type="spellEnd"/>
          </w:p>
        </w:tc>
        <w:tc>
          <w:tcPr>
            <w:tcW w:w="0" w:type="auto"/>
            <w:tcMar>
              <w:top w:w="15" w:type="dxa"/>
              <w:left w:w="15" w:type="dxa"/>
              <w:bottom w:w="15" w:type="dxa"/>
              <w:right w:w="15" w:type="dxa"/>
            </w:tcMar>
            <w:vAlign w:val="center"/>
            <w:hideMark/>
          </w:tcPr>
          <w:p w14:paraId="5D21A2D8"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Considerar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situación</w:t>
            </w:r>
            <w:proofErr w:type="spellEnd"/>
            <w:r w:rsidRPr="001E357C">
              <w:rPr>
                <w:rFonts w:ascii="Times New Roman" w:hAnsi="Times New Roman" w:cs="Times New Roman"/>
                <w:lang w:val="en-US"/>
              </w:rPr>
              <w:t xml:space="preserve"> total, </w:t>
            </w:r>
            <w:proofErr w:type="spellStart"/>
            <w:r w:rsidRPr="001E357C">
              <w:rPr>
                <w:rFonts w:ascii="Times New Roman" w:hAnsi="Times New Roman" w:cs="Times New Roman"/>
                <w:lang w:val="en-US"/>
              </w:rPr>
              <w:t>Evaluar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implicaciones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Intentar</w:t>
            </w:r>
            <w:proofErr w:type="spellEnd"/>
            <w:r w:rsidRPr="001E357C">
              <w:rPr>
                <w:rFonts w:ascii="Times New Roman" w:hAnsi="Times New Roman" w:cs="Times New Roman"/>
                <w:lang w:val="en-US"/>
              </w:rPr>
              <w:t xml:space="preserve"> ser bien </w:t>
            </w:r>
            <w:proofErr w:type="spellStart"/>
            <w:r w:rsidRPr="001E357C">
              <w:rPr>
                <w:rFonts w:ascii="Times New Roman" w:hAnsi="Times New Roman" w:cs="Times New Roman"/>
                <w:lang w:val="en-US"/>
              </w:rPr>
              <w:t>informado</w:t>
            </w:r>
            <w:proofErr w:type="spellEnd"/>
          </w:p>
        </w:tc>
        <w:tc>
          <w:tcPr>
            <w:tcW w:w="0" w:type="auto"/>
            <w:tcMar>
              <w:top w:w="15" w:type="dxa"/>
              <w:left w:w="15" w:type="dxa"/>
              <w:bottom w:w="15" w:type="dxa"/>
              <w:right w:w="15" w:type="dxa"/>
            </w:tcMar>
            <w:vAlign w:val="center"/>
            <w:hideMark/>
          </w:tcPr>
          <w:p w14:paraId="6E71184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6</w:t>
            </w:r>
          </w:p>
        </w:tc>
        <w:tc>
          <w:tcPr>
            <w:tcW w:w="0" w:type="auto"/>
            <w:tcMar>
              <w:top w:w="15" w:type="dxa"/>
              <w:left w:w="15" w:type="dxa"/>
              <w:bottom w:w="15" w:type="dxa"/>
              <w:right w:w="15" w:type="dxa"/>
            </w:tcMar>
            <w:vAlign w:val="center"/>
            <w:hideMark/>
          </w:tcPr>
          <w:p w14:paraId="03BE280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.863</w:t>
            </w:r>
          </w:p>
        </w:tc>
      </w:tr>
      <w:tr w:rsidR="001E357C" w:rsidRPr="001E357C" w14:paraId="220F9E8D" w14:textId="77777777" w:rsidTr="00AF5455">
        <w:trPr>
          <w:tblCellSpacing w:w="15" w:type="dxa"/>
        </w:trPr>
        <w:tc>
          <w:tcPr>
            <w:tcW w:w="0" w:type="auto"/>
            <w:tcMar>
              <w:top w:w="15" w:type="dxa"/>
              <w:left w:w="15" w:type="dxa"/>
              <w:bottom w:w="15" w:type="dxa"/>
              <w:right w:w="15" w:type="dxa"/>
            </w:tcMar>
            <w:vAlign w:val="center"/>
            <w:hideMark/>
          </w:tcPr>
          <w:p w14:paraId="27AC1F1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Evaluación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crítica</w:t>
            </w:r>
            <w:proofErr w:type="spellEnd"/>
            <w:r w:rsidRPr="001E357C">
              <w:rPr>
                <w:rFonts w:ascii="Times New Roman" w:hAnsi="Times New Roman" w:cs="Times New Roman"/>
                <w:lang w:val="en-US"/>
              </w:rPr>
              <w:t xml:space="preserve"> de la </w:t>
            </w:r>
            <w:proofErr w:type="spellStart"/>
            <w:r w:rsidRPr="001E357C">
              <w:rPr>
                <w:rFonts w:ascii="Times New Roman" w:hAnsi="Times New Roman" w:cs="Times New Roman"/>
                <w:lang w:val="en-US"/>
              </w:rPr>
              <w:t>información</w:t>
            </w:r>
            <w:proofErr w:type="spellEnd"/>
          </w:p>
        </w:tc>
        <w:tc>
          <w:tcPr>
            <w:tcW w:w="0" w:type="auto"/>
            <w:tcMar>
              <w:top w:w="15" w:type="dxa"/>
              <w:left w:w="15" w:type="dxa"/>
              <w:bottom w:w="15" w:type="dxa"/>
              <w:right w:w="15" w:type="dxa"/>
            </w:tcMar>
            <w:vAlign w:val="center"/>
            <w:hideMark/>
          </w:tcPr>
          <w:p w14:paraId="11322B8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Preocuparse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exactitud</w:t>
            </w:r>
            <w:proofErr w:type="spellEnd"/>
            <w:r w:rsidRPr="001E357C">
              <w:rPr>
                <w:rFonts w:ascii="Times New Roman" w:hAnsi="Times New Roman" w:cs="Times New Roman"/>
                <w:lang w:val="en-US"/>
              </w:rPr>
              <w:t xml:space="preserve">, Ser sensible al </w:t>
            </w:r>
            <w:proofErr w:type="spellStart"/>
            <w:r w:rsidRPr="001E357C">
              <w:rPr>
                <w:rFonts w:ascii="Times New Roman" w:hAnsi="Times New Roman" w:cs="Times New Roman"/>
                <w:lang w:val="en-US"/>
              </w:rPr>
              <w:t>nivel</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detalle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necesario</w:t>
            </w:r>
            <w:proofErr w:type="spellEnd"/>
          </w:p>
        </w:tc>
        <w:tc>
          <w:tcPr>
            <w:tcW w:w="0" w:type="auto"/>
            <w:tcMar>
              <w:top w:w="15" w:type="dxa"/>
              <w:left w:w="15" w:type="dxa"/>
              <w:bottom w:w="15" w:type="dxa"/>
              <w:right w:w="15" w:type="dxa"/>
            </w:tcMar>
            <w:vAlign w:val="center"/>
            <w:hideMark/>
          </w:tcPr>
          <w:p w14:paraId="4CBB751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6</w:t>
            </w:r>
          </w:p>
        </w:tc>
        <w:tc>
          <w:tcPr>
            <w:tcW w:w="0" w:type="auto"/>
            <w:tcMar>
              <w:top w:w="15" w:type="dxa"/>
              <w:left w:w="15" w:type="dxa"/>
              <w:bottom w:w="15" w:type="dxa"/>
              <w:right w:w="15" w:type="dxa"/>
            </w:tcMar>
            <w:vAlign w:val="center"/>
            <w:hideMark/>
          </w:tcPr>
          <w:p w14:paraId="4E86BD0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.887</w:t>
            </w:r>
          </w:p>
        </w:tc>
      </w:tr>
      <w:tr w:rsidR="001E357C" w:rsidRPr="001E357C" w14:paraId="6A628123" w14:textId="77777777" w:rsidTr="00AF5455">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C42403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bCs/>
                <w:lang w:val="en-US"/>
              </w:rPr>
              <w:t xml:space="preserve">Total </w:t>
            </w:r>
            <w:proofErr w:type="spellStart"/>
            <w:r w:rsidRPr="001E357C">
              <w:rPr>
                <w:rFonts w:ascii="Times New Roman" w:hAnsi="Times New Roman" w:cs="Times New Roman"/>
                <w:bCs/>
                <w:lang w:val="en-US"/>
              </w:rPr>
              <w:t>escala</w:t>
            </w:r>
            <w:proofErr w:type="spellEnd"/>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4A76D2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Diez </w:t>
            </w:r>
            <w:proofErr w:type="spellStart"/>
            <w:r w:rsidRPr="001E357C">
              <w:rPr>
                <w:rFonts w:ascii="Times New Roman" w:hAnsi="Times New Roman" w:cs="Times New Roman"/>
                <w:lang w:val="en-US"/>
              </w:rPr>
              <w:t>disposiciones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reagruparon</w:t>
            </w:r>
            <w:proofErr w:type="spellEnd"/>
            <w:r w:rsidRPr="001E357C">
              <w:rPr>
                <w:rFonts w:ascii="Times New Roman" w:hAnsi="Times New Roman" w:cs="Times New Roman"/>
                <w:lang w:val="en-US"/>
              </w:rPr>
              <w:t xml:space="preserve"> de forma </w:t>
            </w:r>
            <w:proofErr w:type="spellStart"/>
            <w:r w:rsidRPr="001E357C">
              <w:rPr>
                <w:rFonts w:ascii="Times New Roman" w:hAnsi="Times New Roman" w:cs="Times New Roman"/>
                <w:lang w:val="en-US"/>
              </w:rPr>
              <w:t>empírica</w:t>
            </w:r>
            <w:proofErr w:type="spellEnd"/>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612665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21</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AEC681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.951</w:t>
            </w:r>
          </w:p>
        </w:tc>
      </w:tr>
    </w:tbl>
    <w:p w14:paraId="600117CB" w14:textId="77777777" w:rsidR="00AF5455" w:rsidRPr="001E357C" w:rsidRDefault="00AF5455" w:rsidP="003E5A64">
      <w:pPr>
        <w:tabs>
          <w:tab w:val="left" w:pos="6330"/>
        </w:tabs>
        <w:spacing w:after="0" w:line="240" w:lineRule="auto"/>
        <w:jc w:val="both"/>
        <w:rPr>
          <w:rFonts w:ascii="Times New Roman" w:hAnsi="Times New Roman" w:cs="Times New Roman"/>
          <w:iCs/>
        </w:rPr>
      </w:pPr>
      <w:r w:rsidRPr="001E357C">
        <w:rPr>
          <w:rFonts w:ascii="Times New Roman" w:hAnsi="Times New Roman" w:cs="Times New Roman"/>
          <w:i/>
          <w:iCs/>
        </w:rPr>
        <w:t>Nota.</w:t>
      </w:r>
      <w:r w:rsidRPr="001E357C">
        <w:rPr>
          <w:rFonts w:ascii="Times New Roman" w:hAnsi="Times New Roman" w:cs="Times New Roman"/>
        </w:rPr>
        <w:t xml:space="preserve"> El alfa de Cronbach global (.951) corresponde a la confiabilidad total de la escala compuesta por 21 ítems.</w:t>
      </w:r>
    </w:p>
    <w:p w14:paraId="24FABF28" w14:textId="77777777" w:rsidR="00AF5455" w:rsidRPr="001E357C" w:rsidRDefault="00AF5455" w:rsidP="003E5A64">
      <w:pPr>
        <w:tabs>
          <w:tab w:val="left" w:pos="6330"/>
        </w:tabs>
        <w:spacing w:after="0" w:line="240" w:lineRule="auto"/>
        <w:jc w:val="center"/>
        <w:rPr>
          <w:rFonts w:ascii="Times New Roman" w:hAnsi="Times New Roman" w:cs="Times New Roman"/>
          <w:iCs/>
        </w:rPr>
      </w:pPr>
      <w:r w:rsidRPr="001E357C">
        <w:rPr>
          <w:rFonts w:ascii="Times New Roman" w:hAnsi="Times New Roman" w:cs="Times New Roman"/>
          <w:iCs/>
        </w:rPr>
        <w:t>Fuente: Elaboración propia con base en el AFE (JASP, 2025).</w:t>
      </w:r>
    </w:p>
    <w:p w14:paraId="42843766"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lastRenderedPageBreak/>
        <w:t xml:space="preserve">Con base en esta estructura refinada, se construyó la versión final del instrumento, conformada por 21 ítems distribuidos en cuatro dimensiones: rigor en el proceso de indagación, flexibilidad cognitiva, pensamiento reflexivo contextualizado y evaluación crítica de la información. El análisis factorial final mostró un KMO de .941, cargas factoriales entre .63 y .86, y una varianza explicada del 55.3 %. La confiabilidad interna global del instrumento, medida mediante el coeficiente alfa de Cronbach, fue de </w:t>
      </w:r>
      <w:r w:rsidRPr="003E5A64">
        <w:rPr>
          <w:rFonts w:ascii="Times New Roman" w:hAnsi="Times New Roman" w:cs="Times New Roman"/>
        </w:rPr>
        <w:t>.951 (IC 95 %: .937–.965), con valores por subescala entre .778 y .887, lo que indica una consistencia interna excelente tanto a nivel global como factorial.</w:t>
      </w:r>
    </w:p>
    <w:p w14:paraId="51BB7B79"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654E2409"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La Tabla 3 detalla los ítems que componen la versión final del instrumento, indicando para cada uno el código asignado, su redacción, la disposición crítica que evalúa y la categoría emergente a la que pertenece.</w:t>
      </w:r>
    </w:p>
    <w:p w14:paraId="59424856"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01C96143" w14:textId="77777777" w:rsidR="00AF5455" w:rsidRDefault="00AF5455" w:rsidP="003E5A64">
      <w:pPr>
        <w:tabs>
          <w:tab w:val="left" w:pos="6330"/>
        </w:tabs>
        <w:spacing w:after="0" w:line="240" w:lineRule="auto"/>
        <w:jc w:val="both"/>
        <w:rPr>
          <w:rFonts w:ascii="Times New Roman" w:hAnsi="Times New Roman" w:cs="Times New Roman"/>
          <w:bCs/>
        </w:rPr>
      </w:pPr>
      <w:r w:rsidRPr="003E5A64">
        <w:rPr>
          <w:rFonts w:ascii="Times New Roman" w:hAnsi="Times New Roman" w:cs="Times New Roman"/>
        </w:rPr>
        <w:t>Tabla 3</w:t>
      </w:r>
      <w:r w:rsidRPr="001E357C">
        <w:rPr>
          <w:rFonts w:ascii="Times New Roman" w:hAnsi="Times New Roman" w:cs="Times New Roman"/>
          <w:b/>
          <w:bCs/>
        </w:rPr>
        <w:t xml:space="preserve"> </w:t>
      </w:r>
      <w:r w:rsidRPr="001E357C">
        <w:rPr>
          <w:rFonts w:ascii="Times New Roman" w:hAnsi="Times New Roman" w:cs="Times New Roman"/>
          <w:bCs/>
        </w:rPr>
        <w:t>Reactivos finales del instrumento agrupados por factor emergente y disposición original de Ennis</w:t>
      </w:r>
    </w:p>
    <w:p w14:paraId="01134E82" w14:textId="77777777" w:rsidR="003E5A64" w:rsidRPr="001E357C" w:rsidRDefault="003E5A64" w:rsidP="003E5A64">
      <w:pPr>
        <w:tabs>
          <w:tab w:val="left" w:pos="6330"/>
        </w:tabs>
        <w:spacing w:after="0" w:line="240" w:lineRule="auto"/>
        <w:jc w:val="both"/>
        <w:rPr>
          <w:rFonts w:ascii="Times New Roman" w:hAnsi="Times New Roman" w:cs="Times New Roman"/>
        </w:rPr>
      </w:pPr>
    </w:p>
    <w:tbl>
      <w:tblPr>
        <w:tblW w:w="0" w:type="auto"/>
        <w:tblCellSpacing w:w="15" w:type="dxa"/>
        <w:tblLook w:val="04A0" w:firstRow="1" w:lastRow="0" w:firstColumn="1" w:lastColumn="0" w:noHBand="0" w:noVBand="1"/>
      </w:tblPr>
      <w:tblGrid>
        <w:gridCol w:w="2324"/>
        <w:gridCol w:w="540"/>
        <w:gridCol w:w="4761"/>
        <w:gridCol w:w="2156"/>
      </w:tblGrid>
      <w:tr w:rsidR="001E357C" w:rsidRPr="001E357C" w14:paraId="37CD8CB5" w14:textId="77777777" w:rsidTr="00AF5455">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5A501B6"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r w:rsidRPr="001E357C">
              <w:rPr>
                <w:rFonts w:ascii="Times New Roman" w:hAnsi="Times New Roman" w:cs="Times New Roman"/>
                <w:b/>
                <w:bCs/>
                <w:lang w:val="en-US"/>
              </w:rPr>
              <w:t xml:space="preserve">Factor </w:t>
            </w:r>
            <w:proofErr w:type="spellStart"/>
            <w:r w:rsidRPr="001E357C">
              <w:rPr>
                <w:rFonts w:ascii="Times New Roman" w:hAnsi="Times New Roman" w:cs="Times New Roman"/>
                <w:b/>
                <w:bCs/>
                <w:lang w:val="en-US"/>
              </w:rPr>
              <w:t>emergente</w:t>
            </w:r>
            <w:proofErr w:type="spellEnd"/>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463F69B4"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spellStart"/>
            <w:r w:rsidRPr="001E357C">
              <w:rPr>
                <w:rFonts w:ascii="Times New Roman" w:hAnsi="Times New Roman" w:cs="Times New Roman"/>
                <w:b/>
                <w:bCs/>
                <w:lang w:val="en-US"/>
              </w:rPr>
              <w:t>Ítem</w:t>
            </w:r>
            <w:proofErr w:type="spellEnd"/>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9C6ECEB"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spellStart"/>
            <w:r w:rsidRPr="001E357C">
              <w:rPr>
                <w:rFonts w:ascii="Times New Roman" w:hAnsi="Times New Roman" w:cs="Times New Roman"/>
                <w:b/>
                <w:bCs/>
                <w:lang w:val="en-US"/>
              </w:rPr>
              <w:t>Enunciado</w:t>
            </w:r>
            <w:proofErr w:type="spellEnd"/>
            <w:r w:rsidRPr="001E357C">
              <w:rPr>
                <w:rFonts w:ascii="Times New Roman" w:hAnsi="Times New Roman" w:cs="Times New Roman"/>
                <w:b/>
                <w:bCs/>
                <w:lang w:val="en-US"/>
              </w:rPr>
              <w:t xml:space="preserve"> del </w:t>
            </w:r>
            <w:proofErr w:type="spellStart"/>
            <w:r w:rsidRPr="001E357C">
              <w:rPr>
                <w:rFonts w:ascii="Times New Roman" w:hAnsi="Times New Roman" w:cs="Times New Roman"/>
                <w:b/>
                <w:bCs/>
                <w:lang w:val="en-US"/>
              </w:rPr>
              <w:t>reactivo</w:t>
            </w:r>
            <w:proofErr w:type="spellEnd"/>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F7BB4A3" w14:textId="77777777" w:rsidR="00AF5455" w:rsidRPr="001E357C" w:rsidRDefault="00AF5455" w:rsidP="003E5A64">
            <w:pPr>
              <w:tabs>
                <w:tab w:val="left" w:pos="6330"/>
              </w:tabs>
              <w:spacing w:after="0" w:line="240" w:lineRule="auto"/>
              <w:jc w:val="both"/>
              <w:rPr>
                <w:rFonts w:ascii="Times New Roman" w:hAnsi="Times New Roman" w:cs="Times New Roman"/>
                <w:b/>
                <w:bCs/>
                <w:lang w:val="en-US"/>
              </w:rPr>
            </w:pPr>
            <w:proofErr w:type="spellStart"/>
            <w:r w:rsidRPr="001E357C">
              <w:rPr>
                <w:rFonts w:ascii="Times New Roman" w:hAnsi="Times New Roman" w:cs="Times New Roman"/>
                <w:b/>
                <w:bCs/>
                <w:lang w:val="en-US"/>
              </w:rPr>
              <w:t>Disposición</w:t>
            </w:r>
            <w:proofErr w:type="spellEnd"/>
            <w:r w:rsidRPr="001E357C">
              <w:rPr>
                <w:rFonts w:ascii="Times New Roman" w:hAnsi="Times New Roman" w:cs="Times New Roman"/>
                <w:b/>
                <w:bCs/>
                <w:lang w:val="en-US"/>
              </w:rPr>
              <w:t xml:space="preserve"> de Ennis</w:t>
            </w:r>
          </w:p>
        </w:tc>
      </w:tr>
      <w:tr w:rsidR="001E357C" w:rsidRPr="001E357C" w14:paraId="58209FBA" w14:textId="77777777" w:rsidTr="00AF5455">
        <w:trPr>
          <w:tblCellSpacing w:w="15" w:type="dxa"/>
        </w:trPr>
        <w:tc>
          <w:tcPr>
            <w:tcW w:w="0" w:type="auto"/>
            <w:vMerge w:val="restart"/>
            <w:tcMar>
              <w:top w:w="15" w:type="dxa"/>
              <w:left w:w="15" w:type="dxa"/>
              <w:bottom w:w="15" w:type="dxa"/>
              <w:right w:w="15" w:type="dxa"/>
            </w:tcMar>
            <w:vAlign w:val="center"/>
            <w:hideMark/>
          </w:tcPr>
          <w:p w14:paraId="639BDE2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b/>
                <w:bCs/>
                <w:lang w:val="en-US"/>
              </w:rPr>
              <w:t xml:space="preserve">Rigor </w:t>
            </w:r>
            <w:proofErr w:type="spellStart"/>
            <w:r w:rsidRPr="001E357C">
              <w:rPr>
                <w:rFonts w:ascii="Times New Roman" w:hAnsi="Times New Roman" w:cs="Times New Roman"/>
                <w:b/>
                <w:bCs/>
                <w:lang w:val="en-US"/>
              </w:rPr>
              <w:t>en</w:t>
            </w:r>
            <w:proofErr w:type="spellEnd"/>
            <w:r w:rsidRPr="001E357C">
              <w:rPr>
                <w:rFonts w:ascii="Times New Roman" w:hAnsi="Times New Roman" w:cs="Times New Roman"/>
                <w:b/>
                <w:bCs/>
                <w:lang w:val="en-US"/>
              </w:rPr>
              <w:t xml:space="preserve"> </w:t>
            </w:r>
            <w:proofErr w:type="spellStart"/>
            <w:r w:rsidRPr="001E357C">
              <w:rPr>
                <w:rFonts w:ascii="Times New Roman" w:hAnsi="Times New Roman" w:cs="Times New Roman"/>
                <w:b/>
                <w:bCs/>
                <w:lang w:val="en-US"/>
              </w:rPr>
              <w:t>el</w:t>
            </w:r>
            <w:proofErr w:type="spellEnd"/>
            <w:r w:rsidRPr="001E357C">
              <w:rPr>
                <w:rFonts w:ascii="Times New Roman" w:hAnsi="Times New Roman" w:cs="Times New Roman"/>
                <w:b/>
                <w:bCs/>
                <w:lang w:val="en-US"/>
              </w:rPr>
              <w:t xml:space="preserve"> </w:t>
            </w:r>
            <w:proofErr w:type="spellStart"/>
            <w:r w:rsidRPr="001E357C">
              <w:rPr>
                <w:rFonts w:ascii="Times New Roman" w:hAnsi="Times New Roman" w:cs="Times New Roman"/>
                <w:b/>
                <w:bCs/>
                <w:lang w:val="en-US"/>
              </w:rPr>
              <w:t>proceso</w:t>
            </w:r>
            <w:proofErr w:type="spellEnd"/>
            <w:r w:rsidRPr="001E357C">
              <w:rPr>
                <w:rFonts w:ascii="Times New Roman" w:hAnsi="Times New Roman" w:cs="Times New Roman"/>
                <w:b/>
                <w:bCs/>
                <w:lang w:val="en-US"/>
              </w:rPr>
              <w:t xml:space="preserve"> de </w:t>
            </w:r>
            <w:proofErr w:type="spellStart"/>
            <w:r w:rsidRPr="001E357C">
              <w:rPr>
                <w:rFonts w:ascii="Times New Roman" w:hAnsi="Times New Roman" w:cs="Times New Roman"/>
                <w:b/>
                <w:bCs/>
                <w:lang w:val="en-US"/>
              </w:rPr>
              <w:t>indagación</w:t>
            </w:r>
            <w:proofErr w:type="spellEnd"/>
          </w:p>
        </w:tc>
        <w:tc>
          <w:tcPr>
            <w:tcW w:w="0" w:type="auto"/>
            <w:tcMar>
              <w:top w:w="15" w:type="dxa"/>
              <w:left w:w="15" w:type="dxa"/>
              <w:bottom w:w="15" w:type="dxa"/>
              <w:right w:w="15" w:type="dxa"/>
            </w:tcMar>
            <w:vAlign w:val="center"/>
            <w:hideMark/>
          </w:tcPr>
          <w:p w14:paraId="6DA5AB2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R4</w:t>
            </w:r>
          </w:p>
        </w:tc>
        <w:tc>
          <w:tcPr>
            <w:tcW w:w="0" w:type="auto"/>
            <w:tcMar>
              <w:top w:w="15" w:type="dxa"/>
              <w:left w:w="15" w:type="dxa"/>
              <w:bottom w:w="15" w:type="dxa"/>
              <w:right w:w="15" w:type="dxa"/>
            </w:tcMar>
            <w:vAlign w:val="center"/>
            <w:hideMark/>
          </w:tcPr>
          <w:p w14:paraId="07A3A0C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Si las </w:t>
            </w:r>
            <w:proofErr w:type="spellStart"/>
            <w:r w:rsidRPr="001E357C">
              <w:rPr>
                <w:rFonts w:ascii="Times New Roman" w:hAnsi="Times New Roman" w:cs="Times New Roman"/>
                <w:lang w:val="en-US"/>
              </w:rPr>
              <w:t>respuestas</w:t>
            </w:r>
            <w:proofErr w:type="spellEnd"/>
            <w:r w:rsidRPr="001E357C">
              <w:rPr>
                <w:rFonts w:ascii="Times New Roman" w:hAnsi="Times New Roman" w:cs="Times New Roman"/>
                <w:lang w:val="en-US"/>
              </w:rPr>
              <w:t xml:space="preserve"> de la IAG no son </w:t>
            </w:r>
            <w:proofErr w:type="spellStart"/>
            <w:r w:rsidRPr="001E357C">
              <w:rPr>
                <w:rFonts w:ascii="Times New Roman" w:hAnsi="Times New Roman" w:cs="Times New Roman"/>
                <w:lang w:val="en-US"/>
              </w:rPr>
              <w:t>claras</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carecen</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fundamentos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recurro</w:t>
            </w:r>
            <w:proofErr w:type="spellEnd"/>
            <w:r w:rsidRPr="001E357C">
              <w:rPr>
                <w:rFonts w:ascii="Times New Roman" w:hAnsi="Times New Roman" w:cs="Times New Roman"/>
                <w:lang w:val="en-US"/>
              </w:rPr>
              <w:t xml:space="preserve"> a </w:t>
            </w:r>
            <w:proofErr w:type="spellStart"/>
            <w:r w:rsidRPr="001E357C">
              <w:rPr>
                <w:rFonts w:ascii="Times New Roman" w:hAnsi="Times New Roman" w:cs="Times New Roman"/>
                <w:lang w:val="en-US"/>
              </w:rPr>
              <w:t>fuentes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confiables</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verificar</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ampliar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w:t>
            </w:r>
          </w:p>
        </w:tc>
        <w:tc>
          <w:tcPr>
            <w:tcW w:w="0" w:type="auto"/>
            <w:vMerge w:val="restart"/>
            <w:tcMar>
              <w:top w:w="15" w:type="dxa"/>
              <w:left w:w="15" w:type="dxa"/>
              <w:bottom w:w="15" w:type="dxa"/>
              <w:right w:w="15" w:type="dxa"/>
            </w:tcMar>
            <w:vAlign w:val="center"/>
            <w:hideMark/>
          </w:tcPr>
          <w:p w14:paraId="2B5ADEC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razones</w:t>
            </w:r>
            <w:proofErr w:type="spellEnd"/>
          </w:p>
        </w:tc>
      </w:tr>
      <w:tr w:rsidR="001E357C" w:rsidRPr="001E357C" w14:paraId="02888E1F" w14:textId="77777777" w:rsidTr="00AF5455">
        <w:trPr>
          <w:tblCellSpacing w:w="15" w:type="dxa"/>
        </w:trPr>
        <w:tc>
          <w:tcPr>
            <w:tcW w:w="0" w:type="auto"/>
            <w:vMerge/>
            <w:vAlign w:val="center"/>
            <w:hideMark/>
          </w:tcPr>
          <w:p w14:paraId="769C87F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6E1845E6"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R5</w:t>
            </w:r>
          </w:p>
        </w:tc>
        <w:tc>
          <w:tcPr>
            <w:tcW w:w="0" w:type="auto"/>
            <w:tcMar>
              <w:top w:w="15" w:type="dxa"/>
              <w:left w:w="15" w:type="dxa"/>
              <w:bottom w:w="15" w:type="dxa"/>
              <w:right w:w="15" w:type="dxa"/>
            </w:tcMar>
            <w:vAlign w:val="center"/>
            <w:hideMark/>
          </w:tcPr>
          <w:p w14:paraId="343E737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Verifico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la IAG </w:t>
            </w:r>
            <w:proofErr w:type="spellStart"/>
            <w:r w:rsidRPr="001E357C">
              <w:rPr>
                <w:rFonts w:ascii="Times New Roman" w:hAnsi="Times New Roman" w:cs="Times New Roman"/>
                <w:lang w:val="en-US"/>
              </w:rPr>
              <w:t>incluye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fundamentos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ejemplos</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referencias</w:t>
            </w:r>
            <w:proofErr w:type="spellEnd"/>
            <w:r w:rsidRPr="001E357C">
              <w:rPr>
                <w:rFonts w:ascii="Times New Roman" w:hAnsi="Times New Roman" w:cs="Times New Roman"/>
                <w:lang w:val="en-US"/>
              </w:rPr>
              <w:t xml:space="preserve"> que </w:t>
            </w:r>
            <w:proofErr w:type="spellStart"/>
            <w:r w:rsidRPr="001E357C">
              <w:rPr>
                <w:rFonts w:ascii="Times New Roman" w:hAnsi="Times New Roman" w:cs="Times New Roman"/>
                <w:lang w:val="en-US"/>
              </w:rPr>
              <w:t>respalden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su</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respuesta</w:t>
            </w:r>
            <w:proofErr w:type="spellEnd"/>
            <w:r w:rsidRPr="001E357C">
              <w:rPr>
                <w:rFonts w:ascii="Times New Roman" w:hAnsi="Times New Roman" w:cs="Times New Roman"/>
                <w:lang w:val="en-US"/>
              </w:rPr>
              <w:t>.</w:t>
            </w:r>
          </w:p>
        </w:tc>
        <w:tc>
          <w:tcPr>
            <w:tcW w:w="0" w:type="auto"/>
            <w:vMerge/>
            <w:vAlign w:val="center"/>
            <w:hideMark/>
          </w:tcPr>
          <w:p w14:paraId="5AE0F0F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566729BF" w14:textId="77777777" w:rsidTr="00AF5455">
        <w:trPr>
          <w:tblCellSpacing w:w="15" w:type="dxa"/>
        </w:trPr>
        <w:tc>
          <w:tcPr>
            <w:tcW w:w="0" w:type="auto"/>
            <w:vMerge/>
            <w:vAlign w:val="center"/>
            <w:hideMark/>
          </w:tcPr>
          <w:p w14:paraId="4BC0E7B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4285667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R26</w:t>
            </w:r>
          </w:p>
        </w:tc>
        <w:tc>
          <w:tcPr>
            <w:tcW w:w="0" w:type="auto"/>
            <w:tcMar>
              <w:top w:w="15" w:type="dxa"/>
              <w:left w:w="15" w:type="dxa"/>
              <w:bottom w:w="15" w:type="dxa"/>
              <w:right w:w="15" w:type="dxa"/>
            </w:tcMar>
            <w:vAlign w:val="center"/>
            <w:hideMark/>
          </w:tcPr>
          <w:p w14:paraId="12B9BD8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gramStart"/>
            <w:r w:rsidRPr="001E357C">
              <w:rPr>
                <w:rFonts w:ascii="Times New Roman" w:hAnsi="Times New Roman" w:cs="Times New Roman"/>
                <w:lang w:val="en-US"/>
              </w:rPr>
              <w:t>No</w:t>
            </w:r>
            <w:proofErr w:type="gramEnd"/>
            <w:r w:rsidRPr="001E357C">
              <w:rPr>
                <w:rFonts w:ascii="Times New Roman" w:hAnsi="Times New Roman" w:cs="Times New Roman"/>
                <w:lang w:val="en-US"/>
              </w:rPr>
              <w:t xml:space="preserve"> me </w:t>
            </w:r>
            <w:proofErr w:type="spellStart"/>
            <w:r w:rsidRPr="001E357C">
              <w:rPr>
                <w:rFonts w:ascii="Times New Roman" w:hAnsi="Times New Roman" w:cs="Times New Roman"/>
                <w:lang w:val="en-US"/>
              </w:rPr>
              <w:t>conformo</w:t>
            </w:r>
            <w:proofErr w:type="spellEnd"/>
            <w:r w:rsidRPr="001E357C">
              <w:rPr>
                <w:rFonts w:ascii="Times New Roman" w:hAnsi="Times New Roman" w:cs="Times New Roman"/>
                <w:lang w:val="en-US"/>
              </w:rPr>
              <w:t xml:space="preserve"> con la </w:t>
            </w:r>
            <w:proofErr w:type="spellStart"/>
            <w:r w:rsidRPr="001E357C">
              <w:rPr>
                <w:rFonts w:ascii="Times New Roman" w:hAnsi="Times New Roman" w:cs="Times New Roman"/>
                <w:lang w:val="en-US"/>
              </w:rPr>
              <w:t>primera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respuesta</w:t>
            </w:r>
            <w:proofErr w:type="spellEnd"/>
            <w:r w:rsidRPr="001E357C">
              <w:rPr>
                <w:rFonts w:ascii="Times New Roman" w:hAnsi="Times New Roman" w:cs="Times New Roman"/>
                <w:lang w:val="en-US"/>
              </w:rPr>
              <w:t xml:space="preserve"> de la IAG; </w:t>
            </w:r>
            <w:proofErr w:type="spellStart"/>
            <w:r w:rsidRPr="001E357C">
              <w:rPr>
                <w:rFonts w:ascii="Times New Roman" w:hAnsi="Times New Roman" w:cs="Times New Roman"/>
                <w:lang w:val="en-US"/>
              </w:rPr>
              <w:t>indago</w:t>
            </w:r>
            <w:proofErr w:type="spellEnd"/>
            <w:r w:rsidRPr="001E357C">
              <w:rPr>
                <w:rFonts w:ascii="Times New Roman" w:hAnsi="Times New Roman" w:cs="Times New Roman"/>
                <w:lang w:val="en-US"/>
              </w:rPr>
              <w:t xml:space="preserve"> con mayor </w:t>
            </w:r>
            <w:proofErr w:type="spellStart"/>
            <w:r w:rsidRPr="001E357C">
              <w:rPr>
                <w:rFonts w:ascii="Times New Roman" w:hAnsi="Times New Roman" w:cs="Times New Roman"/>
                <w:lang w:val="en-US"/>
              </w:rPr>
              <w:t>profundidad</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comprender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mejor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tema</w:t>
            </w:r>
            <w:proofErr w:type="spellEnd"/>
            <w:r w:rsidRPr="001E357C">
              <w:rPr>
                <w:rFonts w:ascii="Times New Roman" w:hAnsi="Times New Roman" w:cs="Times New Roman"/>
                <w:lang w:val="en-US"/>
              </w:rPr>
              <w:t>.</w:t>
            </w:r>
          </w:p>
        </w:tc>
        <w:tc>
          <w:tcPr>
            <w:tcW w:w="0" w:type="auto"/>
            <w:vMerge w:val="restart"/>
            <w:tcMar>
              <w:top w:w="15" w:type="dxa"/>
              <w:left w:w="15" w:type="dxa"/>
              <w:bottom w:w="15" w:type="dxa"/>
              <w:right w:w="15" w:type="dxa"/>
            </w:tcMar>
            <w:vAlign w:val="center"/>
            <w:hideMark/>
          </w:tcPr>
          <w:p w14:paraId="7AA99286"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Ser </w:t>
            </w:r>
            <w:proofErr w:type="spellStart"/>
            <w:r w:rsidRPr="001E357C">
              <w:rPr>
                <w:rFonts w:ascii="Times New Roman" w:hAnsi="Times New Roman" w:cs="Times New Roman"/>
                <w:lang w:val="en-US"/>
              </w:rPr>
              <w:t>persistente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en</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búsqueda</w:t>
            </w:r>
            <w:proofErr w:type="spellEnd"/>
            <w:r w:rsidRPr="001E357C">
              <w:rPr>
                <w:rFonts w:ascii="Times New Roman" w:hAnsi="Times New Roman" w:cs="Times New Roman"/>
                <w:lang w:val="en-US"/>
              </w:rPr>
              <w:t xml:space="preserve"> de la </w:t>
            </w:r>
            <w:proofErr w:type="spellStart"/>
            <w:r w:rsidRPr="001E357C">
              <w:rPr>
                <w:rFonts w:ascii="Times New Roman" w:hAnsi="Times New Roman" w:cs="Times New Roman"/>
                <w:lang w:val="en-US"/>
              </w:rPr>
              <w:t>verdad</w:t>
            </w:r>
            <w:proofErr w:type="spellEnd"/>
          </w:p>
        </w:tc>
      </w:tr>
      <w:tr w:rsidR="001E357C" w:rsidRPr="001E357C" w14:paraId="770969AA" w14:textId="77777777" w:rsidTr="00AF5455">
        <w:trPr>
          <w:tblCellSpacing w:w="15" w:type="dxa"/>
        </w:trPr>
        <w:tc>
          <w:tcPr>
            <w:tcW w:w="0" w:type="auto"/>
            <w:vMerge/>
            <w:vAlign w:val="center"/>
            <w:hideMark/>
          </w:tcPr>
          <w:p w14:paraId="4EB9630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3918A07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R27</w:t>
            </w:r>
          </w:p>
        </w:tc>
        <w:tc>
          <w:tcPr>
            <w:tcW w:w="0" w:type="auto"/>
            <w:tcMar>
              <w:top w:w="15" w:type="dxa"/>
              <w:left w:w="15" w:type="dxa"/>
              <w:bottom w:w="15" w:type="dxa"/>
              <w:right w:w="15" w:type="dxa"/>
            </w:tcMar>
            <w:vAlign w:val="center"/>
            <w:hideMark/>
          </w:tcPr>
          <w:p w14:paraId="00D0D36B"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Cuando</w:t>
            </w:r>
            <w:proofErr w:type="spellEnd"/>
            <w:r w:rsidRPr="001E357C">
              <w:rPr>
                <w:rFonts w:ascii="Times New Roman" w:hAnsi="Times New Roman" w:cs="Times New Roman"/>
                <w:lang w:val="en-US"/>
              </w:rPr>
              <w:t xml:space="preserve"> la IAG me da </w:t>
            </w:r>
            <w:proofErr w:type="spellStart"/>
            <w:r w:rsidRPr="001E357C">
              <w:rPr>
                <w:rFonts w:ascii="Times New Roman" w:hAnsi="Times New Roman" w:cs="Times New Roman"/>
                <w:lang w:val="en-US"/>
              </w:rPr>
              <w:t>respuestas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contradictorias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realizo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una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investigación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adicional</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comprender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mejor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tema</w:t>
            </w:r>
            <w:proofErr w:type="spellEnd"/>
            <w:r w:rsidRPr="001E357C">
              <w:rPr>
                <w:rFonts w:ascii="Times New Roman" w:hAnsi="Times New Roman" w:cs="Times New Roman"/>
                <w:lang w:val="en-US"/>
              </w:rPr>
              <w:t>.</w:t>
            </w:r>
          </w:p>
        </w:tc>
        <w:tc>
          <w:tcPr>
            <w:tcW w:w="0" w:type="auto"/>
            <w:vMerge/>
            <w:vAlign w:val="center"/>
            <w:hideMark/>
          </w:tcPr>
          <w:p w14:paraId="664B6FB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40F7ACD3" w14:textId="77777777" w:rsidTr="00AF5455">
        <w:trPr>
          <w:tblCellSpacing w:w="15" w:type="dxa"/>
        </w:trPr>
        <w:tc>
          <w:tcPr>
            <w:tcW w:w="0" w:type="auto"/>
            <w:vMerge/>
            <w:vAlign w:val="center"/>
            <w:hideMark/>
          </w:tcPr>
          <w:p w14:paraId="3F278E2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6B86321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R28</w:t>
            </w:r>
          </w:p>
        </w:tc>
        <w:tc>
          <w:tcPr>
            <w:tcW w:w="0" w:type="auto"/>
            <w:tcMar>
              <w:top w:w="15" w:type="dxa"/>
              <w:left w:w="15" w:type="dxa"/>
              <w:bottom w:w="15" w:type="dxa"/>
              <w:right w:w="15" w:type="dxa"/>
            </w:tcMar>
            <w:vAlign w:val="center"/>
            <w:hideMark/>
          </w:tcPr>
          <w:p w14:paraId="163C326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Antes de </w:t>
            </w:r>
            <w:proofErr w:type="spellStart"/>
            <w:r w:rsidRPr="001E357C">
              <w:rPr>
                <w:rFonts w:ascii="Times New Roman" w:hAnsi="Times New Roman" w:cs="Times New Roman"/>
                <w:lang w:val="en-US"/>
              </w:rPr>
              <w:t>dar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válida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una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respuesta</w:t>
            </w:r>
            <w:proofErr w:type="spellEnd"/>
            <w:r w:rsidRPr="001E357C">
              <w:rPr>
                <w:rFonts w:ascii="Times New Roman" w:hAnsi="Times New Roman" w:cs="Times New Roman"/>
                <w:lang w:val="en-US"/>
              </w:rPr>
              <w:t xml:space="preserve"> de la IAG, </w:t>
            </w:r>
            <w:proofErr w:type="spellStart"/>
            <w:r w:rsidRPr="001E357C">
              <w:rPr>
                <w:rFonts w:ascii="Times New Roman" w:hAnsi="Times New Roman" w:cs="Times New Roman"/>
                <w:lang w:val="en-US"/>
              </w:rPr>
              <w:t>consulto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diferentes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fuentes</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asegurarme</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su</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veracidad</w:t>
            </w:r>
            <w:proofErr w:type="spellEnd"/>
            <w:r w:rsidRPr="001E357C">
              <w:rPr>
                <w:rFonts w:ascii="Times New Roman" w:hAnsi="Times New Roman" w:cs="Times New Roman"/>
                <w:lang w:val="en-US"/>
              </w:rPr>
              <w:t>.</w:t>
            </w:r>
          </w:p>
        </w:tc>
        <w:tc>
          <w:tcPr>
            <w:tcW w:w="0" w:type="auto"/>
            <w:vMerge/>
            <w:vAlign w:val="center"/>
            <w:hideMark/>
          </w:tcPr>
          <w:p w14:paraId="1E65C30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0C1E7E90" w14:textId="77777777" w:rsidTr="00AF5455">
        <w:trPr>
          <w:tblCellSpacing w:w="15" w:type="dxa"/>
        </w:trPr>
        <w:tc>
          <w:tcPr>
            <w:tcW w:w="0" w:type="auto"/>
            <w:vMerge w:val="restart"/>
            <w:tcBorders>
              <w:top w:val="single" w:sz="4" w:space="0" w:color="auto"/>
              <w:left w:val="nil"/>
              <w:bottom w:val="nil"/>
              <w:right w:val="nil"/>
            </w:tcBorders>
            <w:tcMar>
              <w:top w:w="15" w:type="dxa"/>
              <w:left w:w="15" w:type="dxa"/>
              <w:bottom w:w="15" w:type="dxa"/>
              <w:right w:w="15" w:type="dxa"/>
            </w:tcMar>
            <w:vAlign w:val="center"/>
            <w:hideMark/>
          </w:tcPr>
          <w:p w14:paraId="78ADE6D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b/>
                <w:bCs/>
                <w:lang w:val="en-US"/>
              </w:rPr>
              <w:t>Flexibilidad</w:t>
            </w:r>
            <w:proofErr w:type="spellEnd"/>
            <w:r w:rsidRPr="001E357C">
              <w:rPr>
                <w:rFonts w:ascii="Times New Roman" w:hAnsi="Times New Roman" w:cs="Times New Roman"/>
                <w:b/>
                <w:bCs/>
                <w:lang w:val="en-US"/>
              </w:rPr>
              <w:t xml:space="preserve"> </w:t>
            </w:r>
            <w:proofErr w:type="spellStart"/>
            <w:r w:rsidRPr="001E357C">
              <w:rPr>
                <w:rFonts w:ascii="Times New Roman" w:hAnsi="Times New Roman" w:cs="Times New Roman"/>
                <w:b/>
                <w:bCs/>
                <w:lang w:val="en-US"/>
              </w:rPr>
              <w:t>cognitiva</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427E2EF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R16</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7DDD41B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Si la </w:t>
            </w:r>
            <w:proofErr w:type="spellStart"/>
            <w:r w:rsidRPr="001E357C">
              <w:rPr>
                <w:rFonts w:ascii="Times New Roman" w:hAnsi="Times New Roman" w:cs="Times New Roman"/>
                <w:lang w:val="en-US"/>
              </w:rPr>
              <w:t>respuesta</w:t>
            </w:r>
            <w:proofErr w:type="spellEnd"/>
            <w:r w:rsidRPr="001E357C">
              <w:rPr>
                <w:rFonts w:ascii="Times New Roman" w:hAnsi="Times New Roman" w:cs="Times New Roman"/>
                <w:lang w:val="en-US"/>
              </w:rPr>
              <w:t xml:space="preserve"> de la IAG </w:t>
            </w:r>
            <w:proofErr w:type="spellStart"/>
            <w:r w:rsidRPr="001E357C">
              <w:rPr>
                <w:rFonts w:ascii="Times New Roman" w:hAnsi="Times New Roman" w:cs="Times New Roman"/>
                <w:lang w:val="en-US"/>
              </w:rPr>
              <w:t>difiere</w:t>
            </w:r>
            <w:proofErr w:type="spellEnd"/>
            <w:r w:rsidRPr="001E357C">
              <w:rPr>
                <w:rFonts w:ascii="Times New Roman" w:hAnsi="Times New Roman" w:cs="Times New Roman"/>
                <w:lang w:val="en-US"/>
              </w:rPr>
              <w:t xml:space="preserve"> de mis ideas, la </w:t>
            </w:r>
            <w:proofErr w:type="spellStart"/>
            <w:r w:rsidRPr="001E357C">
              <w:rPr>
                <w:rFonts w:ascii="Times New Roman" w:hAnsi="Times New Roman" w:cs="Times New Roman"/>
                <w:lang w:val="en-US"/>
              </w:rPr>
              <w:t>contrasto</w:t>
            </w:r>
            <w:proofErr w:type="spellEnd"/>
            <w:r w:rsidRPr="001E357C">
              <w:rPr>
                <w:rFonts w:ascii="Times New Roman" w:hAnsi="Times New Roman" w:cs="Times New Roman"/>
                <w:lang w:val="en-US"/>
              </w:rPr>
              <w:t xml:space="preserve"> con </w:t>
            </w:r>
            <w:proofErr w:type="spellStart"/>
            <w:r w:rsidRPr="001E357C">
              <w:rPr>
                <w:rFonts w:ascii="Times New Roman" w:hAnsi="Times New Roman" w:cs="Times New Roman"/>
                <w:lang w:val="en-US"/>
              </w:rPr>
              <w:t>otras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fuentes</w:t>
            </w:r>
            <w:proofErr w:type="spellEnd"/>
            <w:r w:rsidRPr="001E357C">
              <w:rPr>
                <w:rFonts w:ascii="Times New Roman" w:hAnsi="Times New Roman" w:cs="Times New Roman"/>
                <w:lang w:val="en-US"/>
              </w:rPr>
              <w:t xml:space="preserve"> antes de </w:t>
            </w:r>
            <w:proofErr w:type="spellStart"/>
            <w:r w:rsidRPr="001E357C">
              <w:rPr>
                <w:rFonts w:ascii="Times New Roman" w:hAnsi="Times New Roman" w:cs="Times New Roman"/>
                <w:lang w:val="en-US"/>
              </w:rPr>
              <w:t>aceptarla</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rechazarla</w:t>
            </w:r>
            <w:proofErr w:type="spellEnd"/>
            <w:r w:rsidRPr="001E357C">
              <w:rPr>
                <w:rFonts w:ascii="Times New Roman" w:hAnsi="Times New Roman" w:cs="Times New Roman"/>
                <w:lang w:val="en-US"/>
              </w:rPr>
              <w:t>.</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2C2E6D29"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Mantener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una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abierta</w:t>
            </w:r>
            <w:proofErr w:type="spellEnd"/>
          </w:p>
        </w:tc>
      </w:tr>
      <w:tr w:rsidR="001E357C" w:rsidRPr="001E357C" w14:paraId="64ACAD7C" w14:textId="77777777" w:rsidTr="00AF5455">
        <w:trPr>
          <w:tblCellSpacing w:w="15" w:type="dxa"/>
        </w:trPr>
        <w:tc>
          <w:tcPr>
            <w:tcW w:w="0" w:type="auto"/>
            <w:vMerge/>
            <w:tcBorders>
              <w:top w:val="single" w:sz="4" w:space="0" w:color="auto"/>
              <w:left w:val="nil"/>
              <w:bottom w:val="nil"/>
              <w:right w:val="nil"/>
            </w:tcBorders>
            <w:vAlign w:val="center"/>
            <w:hideMark/>
          </w:tcPr>
          <w:p w14:paraId="08EA046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14B88039"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R21</w:t>
            </w:r>
          </w:p>
        </w:tc>
        <w:tc>
          <w:tcPr>
            <w:tcW w:w="0" w:type="auto"/>
            <w:tcMar>
              <w:top w:w="15" w:type="dxa"/>
              <w:left w:w="15" w:type="dxa"/>
              <w:bottom w:w="15" w:type="dxa"/>
              <w:right w:w="15" w:type="dxa"/>
            </w:tcMar>
            <w:vAlign w:val="center"/>
            <w:hideMark/>
          </w:tcPr>
          <w:p w14:paraId="051BCE2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No </w:t>
            </w:r>
            <w:proofErr w:type="spellStart"/>
            <w:r w:rsidRPr="001E357C">
              <w:rPr>
                <w:rFonts w:ascii="Times New Roman" w:hAnsi="Times New Roman" w:cs="Times New Roman"/>
                <w:lang w:val="en-US"/>
              </w:rPr>
              <w:t>acepto</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inmediato</w:t>
            </w:r>
            <w:proofErr w:type="spellEnd"/>
            <w:r w:rsidRPr="001E357C">
              <w:rPr>
                <w:rFonts w:ascii="Times New Roman" w:hAnsi="Times New Roman" w:cs="Times New Roman"/>
                <w:lang w:val="en-US"/>
              </w:rPr>
              <w:t xml:space="preserve"> lo que dice la IAG; primero </w:t>
            </w:r>
            <w:proofErr w:type="spellStart"/>
            <w:r w:rsidRPr="001E357C">
              <w:rPr>
                <w:rFonts w:ascii="Times New Roman" w:hAnsi="Times New Roman" w:cs="Times New Roman"/>
                <w:lang w:val="en-US"/>
              </w:rPr>
              <w:t>considero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otras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explicaciones</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analizar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diferentes</w:t>
            </w:r>
            <w:proofErr w:type="spellEnd"/>
            <w:r w:rsidRPr="001E357C">
              <w:rPr>
                <w:rFonts w:ascii="Times New Roman" w:hAnsi="Times New Roman" w:cs="Times New Roman"/>
                <w:lang w:val="en-US"/>
              </w:rPr>
              <w:t xml:space="preserve"> puntos de vista.</w:t>
            </w:r>
          </w:p>
        </w:tc>
        <w:tc>
          <w:tcPr>
            <w:tcW w:w="0" w:type="auto"/>
            <w:vMerge w:val="restart"/>
            <w:tcMar>
              <w:top w:w="15" w:type="dxa"/>
              <w:left w:w="15" w:type="dxa"/>
              <w:bottom w:w="15" w:type="dxa"/>
              <w:right w:w="15" w:type="dxa"/>
            </w:tcMar>
            <w:vAlign w:val="center"/>
            <w:hideMark/>
          </w:tcPr>
          <w:p w14:paraId="16C0273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explicaciones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alternativas</w:t>
            </w:r>
            <w:proofErr w:type="spellEnd"/>
          </w:p>
        </w:tc>
      </w:tr>
      <w:tr w:rsidR="001E357C" w:rsidRPr="001E357C" w14:paraId="677228E1" w14:textId="77777777" w:rsidTr="00AF5455">
        <w:trPr>
          <w:tblCellSpacing w:w="15" w:type="dxa"/>
        </w:trPr>
        <w:tc>
          <w:tcPr>
            <w:tcW w:w="0" w:type="auto"/>
            <w:vMerge/>
            <w:tcBorders>
              <w:top w:val="single" w:sz="4" w:space="0" w:color="auto"/>
              <w:left w:val="nil"/>
              <w:bottom w:val="nil"/>
              <w:right w:val="nil"/>
            </w:tcBorders>
            <w:vAlign w:val="center"/>
            <w:hideMark/>
          </w:tcPr>
          <w:p w14:paraId="4F8865B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3EB2ADA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R22</w:t>
            </w:r>
          </w:p>
        </w:tc>
        <w:tc>
          <w:tcPr>
            <w:tcW w:w="0" w:type="auto"/>
            <w:tcMar>
              <w:top w:w="15" w:type="dxa"/>
              <w:left w:w="15" w:type="dxa"/>
              <w:bottom w:w="15" w:type="dxa"/>
              <w:right w:w="15" w:type="dxa"/>
            </w:tcMar>
            <w:vAlign w:val="center"/>
            <w:hideMark/>
          </w:tcPr>
          <w:p w14:paraId="67BD3596"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Analizo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distintas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perspectivas</w:t>
            </w:r>
            <w:proofErr w:type="spellEnd"/>
            <w:r w:rsidRPr="001E357C">
              <w:rPr>
                <w:rFonts w:ascii="Times New Roman" w:hAnsi="Times New Roman" w:cs="Times New Roman"/>
                <w:lang w:val="en-US"/>
              </w:rPr>
              <w:t xml:space="preserve"> antes de </w:t>
            </w:r>
            <w:proofErr w:type="spellStart"/>
            <w:r w:rsidRPr="001E357C">
              <w:rPr>
                <w:rFonts w:ascii="Times New Roman" w:hAnsi="Times New Roman" w:cs="Times New Roman"/>
                <w:lang w:val="en-US"/>
              </w:rPr>
              <w:t>integrar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como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válida</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conclusión</w:t>
            </w:r>
            <w:proofErr w:type="spellEnd"/>
            <w:r w:rsidRPr="001E357C">
              <w:rPr>
                <w:rFonts w:ascii="Times New Roman" w:hAnsi="Times New Roman" w:cs="Times New Roman"/>
                <w:lang w:val="en-US"/>
              </w:rPr>
              <w:t xml:space="preserve"> que me da la IAG</w:t>
            </w:r>
          </w:p>
        </w:tc>
        <w:tc>
          <w:tcPr>
            <w:tcW w:w="0" w:type="auto"/>
            <w:vMerge/>
            <w:vAlign w:val="center"/>
            <w:hideMark/>
          </w:tcPr>
          <w:p w14:paraId="60BDABB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3A111BCE" w14:textId="77777777" w:rsidTr="00AF5455">
        <w:trPr>
          <w:tblCellSpacing w:w="15" w:type="dxa"/>
        </w:trPr>
        <w:tc>
          <w:tcPr>
            <w:tcW w:w="0" w:type="auto"/>
            <w:vMerge/>
            <w:tcBorders>
              <w:top w:val="single" w:sz="4" w:space="0" w:color="auto"/>
              <w:left w:val="nil"/>
              <w:bottom w:val="nil"/>
              <w:right w:val="nil"/>
            </w:tcBorders>
            <w:vAlign w:val="center"/>
            <w:hideMark/>
          </w:tcPr>
          <w:p w14:paraId="21973AEC"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41BC3AE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R23</w:t>
            </w:r>
          </w:p>
        </w:tc>
        <w:tc>
          <w:tcPr>
            <w:tcW w:w="0" w:type="auto"/>
            <w:tcMar>
              <w:top w:w="15" w:type="dxa"/>
              <w:left w:w="15" w:type="dxa"/>
              <w:bottom w:w="15" w:type="dxa"/>
              <w:right w:w="15" w:type="dxa"/>
            </w:tcMar>
            <w:vAlign w:val="center"/>
            <w:hideMark/>
          </w:tcPr>
          <w:p w14:paraId="6D2BF76B"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Reviso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hay </w:t>
            </w:r>
            <w:proofErr w:type="spellStart"/>
            <w:r w:rsidRPr="001E357C">
              <w:rPr>
                <w:rFonts w:ascii="Times New Roman" w:hAnsi="Times New Roman" w:cs="Times New Roman"/>
                <w:lang w:val="en-US"/>
              </w:rPr>
              <w:t>otras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explicaciones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más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claras</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completas</w:t>
            </w:r>
            <w:proofErr w:type="spellEnd"/>
            <w:r w:rsidRPr="001E357C">
              <w:rPr>
                <w:rFonts w:ascii="Times New Roman" w:hAnsi="Times New Roman" w:cs="Times New Roman"/>
                <w:lang w:val="en-US"/>
              </w:rPr>
              <w:t xml:space="preserve"> que las </w:t>
            </w:r>
            <w:proofErr w:type="spellStart"/>
            <w:r w:rsidRPr="001E357C">
              <w:rPr>
                <w:rFonts w:ascii="Times New Roman" w:hAnsi="Times New Roman" w:cs="Times New Roman"/>
                <w:lang w:val="en-US"/>
              </w:rPr>
              <w:t>proporcionadas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IAG.</w:t>
            </w:r>
          </w:p>
        </w:tc>
        <w:tc>
          <w:tcPr>
            <w:tcW w:w="0" w:type="auto"/>
            <w:vMerge/>
            <w:vAlign w:val="center"/>
            <w:hideMark/>
          </w:tcPr>
          <w:p w14:paraId="4ABFC5B9"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25EA6468" w14:textId="77777777" w:rsidTr="00AF5455">
        <w:trPr>
          <w:tblCellSpacing w:w="15" w:type="dxa"/>
        </w:trPr>
        <w:tc>
          <w:tcPr>
            <w:tcW w:w="0" w:type="auto"/>
            <w:vMerge w:val="restart"/>
            <w:tcBorders>
              <w:top w:val="single" w:sz="4" w:space="0" w:color="auto"/>
              <w:left w:val="nil"/>
              <w:bottom w:val="nil"/>
              <w:right w:val="nil"/>
            </w:tcBorders>
            <w:tcMar>
              <w:top w:w="15" w:type="dxa"/>
              <w:left w:w="15" w:type="dxa"/>
              <w:bottom w:w="15" w:type="dxa"/>
              <w:right w:w="15" w:type="dxa"/>
            </w:tcMar>
            <w:vAlign w:val="center"/>
            <w:hideMark/>
          </w:tcPr>
          <w:p w14:paraId="3D64804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b/>
                <w:bCs/>
                <w:lang w:val="en-US"/>
              </w:rPr>
              <w:t xml:space="preserve">Pensamiento </w:t>
            </w:r>
            <w:proofErr w:type="spellStart"/>
            <w:r w:rsidRPr="001E357C">
              <w:rPr>
                <w:rFonts w:ascii="Times New Roman" w:hAnsi="Times New Roman" w:cs="Times New Roman"/>
                <w:b/>
                <w:bCs/>
                <w:lang w:val="en-US"/>
              </w:rPr>
              <w:t>reflexivo</w:t>
            </w:r>
            <w:proofErr w:type="spellEnd"/>
            <w:r w:rsidRPr="001E357C">
              <w:rPr>
                <w:rFonts w:ascii="Times New Roman" w:hAnsi="Times New Roman" w:cs="Times New Roman"/>
                <w:b/>
                <w:bCs/>
                <w:lang w:val="en-US"/>
              </w:rPr>
              <w:t xml:space="preserve"> </w:t>
            </w:r>
            <w:proofErr w:type="spellStart"/>
            <w:r w:rsidRPr="001E357C">
              <w:rPr>
                <w:rFonts w:ascii="Times New Roman" w:hAnsi="Times New Roman" w:cs="Times New Roman"/>
                <w:b/>
                <w:bCs/>
                <w:lang w:val="en-US"/>
              </w:rPr>
              <w:t>contextualizado</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399365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R3</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7C5D988"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Me </w:t>
            </w:r>
            <w:proofErr w:type="spellStart"/>
            <w:r w:rsidRPr="001E357C">
              <w:rPr>
                <w:rFonts w:ascii="Times New Roman" w:hAnsi="Times New Roman" w:cs="Times New Roman"/>
                <w:lang w:val="en-US"/>
              </w:rPr>
              <w:t>aseguro</w:t>
            </w:r>
            <w:proofErr w:type="spellEnd"/>
            <w:r w:rsidRPr="001E357C">
              <w:rPr>
                <w:rFonts w:ascii="Times New Roman" w:hAnsi="Times New Roman" w:cs="Times New Roman"/>
                <w:lang w:val="en-US"/>
              </w:rPr>
              <w:t xml:space="preserve"> de que la </w:t>
            </w:r>
            <w:proofErr w:type="spellStart"/>
            <w:r w:rsidRPr="001E357C">
              <w:rPr>
                <w:rFonts w:ascii="Times New Roman" w:hAnsi="Times New Roman" w:cs="Times New Roman"/>
                <w:lang w:val="en-US"/>
              </w:rPr>
              <w:t>redacción</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sentido</w:t>
            </w:r>
            <w:proofErr w:type="spellEnd"/>
            <w:r w:rsidRPr="001E357C">
              <w:rPr>
                <w:rFonts w:ascii="Times New Roman" w:hAnsi="Times New Roman" w:cs="Times New Roman"/>
                <w:lang w:val="en-US"/>
              </w:rPr>
              <w:t xml:space="preserve"> de lo que dice la IAG </w:t>
            </w:r>
            <w:proofErr w:type="spellStart"/>
            <w:r w:rsidRPr="001E357C">
              <w:rPr>
                <w:rFonts w:ascii="Times New Roman" w:hAnsi="Times New Roman" w:cs="Times New Roman"/>
                <w:lang w:val="en-US"/>
              </w:rPr>
              <w:t>sean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comprensibles</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coherentes</w:t>
            </w:r>
            <w:proofErr w:type="spellEnd"/>
            <w:r w:rsidRPr="001E357C">
              <w:rPr>
                <w:rFonts w:ascii="Times New Roman" w:hAnsi="Times New Roman" w:cs="Times New Roman"/>
                <w:lang w:val="en-US"/>
              </w:rPr>
              <w:t>.</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3C3705E8"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Buscar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claridad</w:t>
            </w:r>
            <w:proofErr w:type="spellEnd"/>
          </w:p>
        </w:tc>
      </w:tr>
      <w:tr w:rsidR="001E357C" w:rsidRPr="001E357C" w14:paraId="15F23916" w14:textId="77777777" w:rsidTr="00AF5455">
        <w:trPr>
          <w:tblCellSpacing w:w="15" w:type="dxa"/>
        </w:trPr>
        <w:tc>
          <w:tcPr>
            <w:tcW w:w="0" w:type="auto"/>
            <w:vMerge/>
            <w:tcBorders>
              <w:top w:val="single" w:sz="4" w:space="0" w:color="auto"/>
              <w:left w:val="nil"/>
              <w:bottom w:val="nil"/>
              <w:right w:val="nil"/>
            </w:tcBorders>
            <w:vAlign w:val="center"/>
            <w:hideMark/>
          </w:tcPr>
          <w:p w14:paraId="2C1ABC6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18BB88D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R7</w:t>
            </w:r>
          </w:p>
        </w:tc>
        <w:tc>
          <w:tcPr>
            <w:tcW w:w="0" w:type="auto"/>
            <w:tcMar>
              <w:top w:w="15" w:type="dxa"/>
              <w:left w:w="15" w:type="dxa"/>
              <w:bottom w:w="15" w:type="dxa"/>
              <w:right w:w="15" w:type="dxa"/>
            </w:tcMar>
            <w:vAlign w:val="center"/>
            <w:hideMark/>
          </w:tcPr>
          <w:p w14:paraId="6D7DD23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Cuando</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de la IAG no </w:t>
            </w:r>
            <w:proofErr w:type="spellStart"/>
            <w:r w:rsidRPr="001E357C">
              <w:rPr>
                <w:rFonts w:ascii="Times New Roman" w:hAnsi="Times New Roman" w:cs="Times New Roman"/>
                <w:lang w:val="en-US"/>
              </w:rPr>
              <w:t>tiene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suficiente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profundidad</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recurro</w:t>
            </w:r>
            <w:proofErr w:type="spellEnd"/>
            <w:r w:rsidRPr="001E357C">
              <w:rPr>
                <w:rFonts w:ascii="Times New Roman" w:hAnsi="Times New Roman" w:cs="Times New Roman"/>
                <w:lang w:val="en-US"/>
              </w:rPr>
              <w:t xml:space="preserve"> a </w:t>
            </w:r>
            <w:proofErr w:type="spellStart"/>
            <w:r w:rsidRPr="001E357C">
              <w:rPr>
                <w:rFonts w:ascii="Times New Roman" w:hAnsi="Times New Roman" w:cs="Times New Roman"/>
                <w:lang w:val="en-US"/>
              </w:rPr>
              <w:t>textos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especializados</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ampliar</w:t>
            </w:r>
            <w:proofErr w:type="spellEnd"/>
            <w:r w:rsidRPr="001E357C">
              <w:rPr>
                <w:rFonts w:ascii="Times New Roman" w:hAnsi="Times New Roman" w:cs="Times New Roman"/>
                <w:lang w:val="en-US"/>
              </w:rPr>
              <w:t xml:space="preserve"> mi </w:t>
            </w:r>
            <w:proofErr w:type="spellStart"/>
            <w:r w:rsidRPr="001E357C">
              <w:rPr>
                <w:rFonts w:ascii="Times New Roman" w:hAnsi="Times New Roman" w:cs="Times New Roman"/>
                <w:lang w:val="en-US"/>
              </w:rPr>
              <w:t>comprensión</w:t>
            </w:r>
            <w:proofErr w:type="spellEnd"/>
            <w:r w:rsidRPr="001E357C">
              <w:rPr>
                <w:rFonts w:ascii="Times New Roman" w:hAnsi="Times New Roman" w:cs="Times New Roman"/>
                <w:lang w:val="en-US"/>
              </w:rPr>
              <w:t>.</w:t>
            </w:r>
          </w:p>
        </w:tc>
        <w:tc>
          <w:tcPr>
            <w:tcW w:w="0" w:type="auto"/>
            <w:vMerge w:val="restart"/>
            <w:tcMar>
              <w:top w:w="15" w:type="dxa"/>
              <w:left w:w="15" w:type="dxa"/>
              <w:bottom w:w="15" w:type="dxa"/>
              <w:right w:w="15" w:type="dxa"/>
            </w:tcMar>
            <w:vAlign w:val="center"/>
            <w:hideMark/>
          </w:tcPr>
          <w:p w14:paraId="0EF6323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Intentar</w:t>
            </w:r>
            <w:proofErr w:type="spellEnd"/>
            <w:r w:rsidRPr="001E357C">
              <w:rPr>
                <w:rFonts w:ascii="Times New Roman" w:hAnsi="Times New Roman" w:cs="Times New Roman"/>
                <w:lang w:val="en-US"/>
              </w:rPr>
              <w:t xml:space="preserve"> ser bien </w:t>
            </w:r>
            <w:proofErr w:type="spellStart"/>
            <w:r w:rsidRPr="001E357C">
              <w:rPr>
                <w:rFonts w:ascii="Times New Roman" w:hAnsi="Times New Roman" w:cs="Times New Roman"/>
                <w:lang w:val="en-US"/>
              </w:rPr>
              <w:t>informado</w:t>
            </w:r>
            <w:proofErr w:type="spellEnd"/>
          </w:p>
        </w:tc>
      </w:tr>
      <w:tr w:rsidR="001E357C" w:rsidRPr="001E357C" w14:paraId="2EFE93AD" w14:textId="77777777" w:rsidTr="00AF5455">
        <w:trPr>
          <w:tblCellSpacing w:w="15" w:type="dxa"/>
        </w:trPr>
        <w:tc>
          <w:tcPr>
            <w:tcW w:w="0" w:type="auto"/>
            <w:vMerge/>
            <w:tcBorders>
              <w:top w:val="single" w:sz="4" w:space="0" w:color="auto"/>
              <w:left w:val="nil"/>
              <w:bottom w:val="nil"/>
              <w:right w:val="nil"/>
            </w:tcBorders>
            <w:vAlign w:val="center"/>
            <w:hideMark/>
          </w:tcPr>
          <w:p w14:paraId="0884BC3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673443F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R8</w:t>
            </w:r>
          </w:p>
        </w:tc>
        <w:tc>
          <w:tcPr>
            <w:tcW w:w="0" w:type="auto"/>
            <w:tcMar>
              <w:top w:w="15" w:type="dxa"/>
              <w:left w:w="15" w:type="dxa"/>
              <w:bottom w:w="15" w:type="dxa"/>
              <w:right w:w="15" w:type="dxa"/>
            </w:tcMar>
            <w:vAlign w:val="center"/>
            <w:hideMark/>
          </w:tcPr>
          <w:p w14:paraId="5B1F71D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Reviso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toda</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que </w:t>
            </w:r>
            <w:proofErr w:type="spellStart"/>
            <w:r w:rsidRPr="001E357C">
              <w:rPr>
                <w:rFonts w:ascii="Times New Roman" w:hAnsi="Times New Roman" w:cs="Times New Roman"/>
                <w:lang w:val="en-US"/>
              </w:rPr>
              <w:t>proporciona</w:t>
            </w:r>
            <w:proofErr w:type="spellEnd"/>
            <w:r w:rsidRPr="001E357C">
              <w:rPr>
                <w:rFonts w:ascii="Times New Roman" w:hAnsi="Times New Roman" w:cs="Times New Roman"/>
                <w:lang w:val="en-US"/>
              </w:rPr>
              <w:t xml:space="preserve"> la IAG para </w:t>
            </w:r>
            <w:proofErr w:type="spellStart"/>
            <w:r w:rsidRPr="001E357C">
              <w:rPr>
                <w:rFonts w:ascii="Times New Roman" w:hAnsi="Times New Roman" w:cs="Times New Roman"/>
                <w:lang w:val="en-US"/>
              </w:rPr>
              <w:t>asegurarme</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entenderla</w:t>
            </w:r>
            <w:proofErr w:type="spellEnd"/>
            <w:r w:rsidRPr="001E357C">
              <w:rPr>
                <w:rFonts w:ascii="Times New Roman" w:hAnsi="Times New Roman" w:cs="Times New Roman"/>
                <w:lang w:val="en-US"/>
              </w:rPr>
              <w:t xml:space="preserve"> bien.</w:t>
            </w:r>
          </w:p>
        </w:tc>
        <w:tc>
          <w:tcPr>
            <w:tcW w:w="0" w:type="auto"/>
            <w:vMerge/>
            <w:vAlign w:val="center"/>
            <w:hideMark/>
          </w:tcPr>
          <w:p w14:paraId="605EC6D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62A8F83C" w14:textId="77777777" w:rsidTr="00AF5455">
        <w:trPr>
          <w:tblCellSpacing w:w="15" w:type="dxa"/>
        </w:trPr>
        <w:tc>
          <w:tcPr>
            <w:tcW w:w="0" w:type="auto"/>
            <w:vMerge/>
            <w:tcBorders>
              <w:top w:val="single" w:sz="4" w:space="0" w:color="auto"/>
              <w:left w:val="nil"/>
              <w:bottom w:val="nil"/>
              <w:right w:val="nil"/>
            </w:tcBorders>
            <w:vAlign w:val="center"/>
            <w:hideMark/>
          </w:tcPr>
          <w:p w14:paraId="7774137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3B1B77E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R12</w:t>
            </w:r>
          </w:p>
        </w:tc>
        <w:tc>
          <w:tcPr>
            <w:tcW w:w="0" w:type="auto"/>
            <w:tcMar>
              <w:top w:w="15" w:type="dxa"/>
              <w:left w:w="15" w:type="dxa"/>
              <w:bottom w:w="15" w:type="dxa"/>
              <w:right w:w="15" w:type="dxa"/>
            </w:tcMar>
            <w:vAlign w:val="center"/>
            <w:hideMark/>
          </w:tcPr>
          <w:p w14:paraId="27D2965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Analizo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que </w:t>
            </w:r>
            <w:proofErr w:type="spellStart"/>
            <w:r w:rsidRPr="001E357C">
              <w:rPr>
                <w:rFonts w:ascii="Times New Roman" w:hAnsi="Times New Roman" w:cs="Times New Roman"/>
                <w:lang w:val="en-US"/>
              </w:rPr>
              <w:t>proporciona</w:t>
            </w:r>
            <w:proofErr w:type="spellEnd"/>
            <w:r w:rsidRPr="001E357C">
              <w:rPr>
                <w:rFonts w:ascii="Times New Roman" w:hAnsi="Times New Roman" w:cs="Times New Roman"/>
                <w:lang w:val="en-US"/>
              </w:rPr>
              <w:t xml:space="preserve"> la IAG es </w:t>
            </w:r>
            <w:proofErr w:type="spellStart"/>
            <w:r w:rsidRPr="001E357C">
              <w:rPr>
                <w:rFonts w:ascii="Times New Roman" w:hAnsi="Times New Roman" w:cs="Times New Roman"/>
                <w:lang w:val="en-US"/>
              </w:rPr>
              <w:t>pertinente</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útil</w:t>
            </w:r>
            <w:proofErr w:type="spellEnd"/>
            <w:r w:rsidRPr="001E357C">
              <w:rPr>
                <w:rFonts w:ascii="Times New Roman" w:hAnsi="Times New Roman" w:cs="Times New Roman"/>
                <w:lang w:val="en-US"/>
              </w:rPr>
              <w:t xml:space="preserve"> para mi </w:t>
            </w:r>
            <w:proofErr w:type="spellStart"/>
            <w:r w:rsidRPr="001E357C">
              <w:rPr>
                <w:rFonts w:ascii="Times New Roman" w:hAnsi="Times New Roman" w:cs="Times New Roman"/>
                <w:lang w:val="en-US"/>
              </w:rPr>
              <w:t>contexto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específico</w:t>
            </w:r>
            <w:proofErr w:type="spellEnd"/>
            <w:r w:rsidRPr="001E357C">
              <w:rPr>
                <w:rFonts w:ascii="Times New Roman" w:hAnsi="Times New Roman" w:cs="Times New Roman"/>
                <w:lang w:val="en-US"/>
              </w:rPr>
              <w:t>.</w:t>
            </w:r>
          </w:p>
        </w:tc>
        <w:tc>
          <w:tcPr>
            <w:tcW w:w="0" w:type="auto"/>
            <w:vMerge w:val="restart"/>
            <w:tcMar>
              <w:top w:w="15" w:type="dxa"/>
              <w:left w:w="15" w:type="dxa"/>
              <w:bottom w:w="15" w:type="dxa"/>
              <w:right w:w="15" w:type="dxa"/>
            </w:tcMar>
            <w:vAlign w:val="center"/>
            <w:hideMark/>
          </w:tcPr>
          <w:p w14:paraId="54DDF91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Considerar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situación</w:t>
            </w:r>
            <w:proofErr w:type="spellEnd"/>
            <w:r w:rsidRPr="001E357C">
              <w:rPr>
                <w:rFonts w:ascii="Times New Roman" w:hAnsi="Times New Roman" w:cs="Times New Roman"/>
                <w:lang w:val="en-US"/>
              </w:rPr>
              <w:t xml:space="preserve"> total</w:t>
            </w:r>
          </w:p>
        </w:tc>
      </w:tr>
      <w:tr w:rsidR="001E357C" w:rsidRPr="001E357C" w14:paraId="610D54F6" w14:textId="77777777" w:rsidTr="00AF5455">
        <w:trPr>
          <w:tblCellSpacing w:w="15" w:type="dxa"/>
        </w:trPr>
        <w:tc>
          <w:tcPr>
            <w:tcW w:w="0" w:type="auto"/>
            <w:vMerge/>
            <w:tcBorders>
              <w:top w:val="single" w:sz="4" w:space="0" w:color="auto"/>
              <w:left w:val="nil"/>
              <w:bottom w:val="nil"/>
              <w:right w:val="nil"/>
            </w:tcBorders>
            <w:vAlign w:val="center"/>
            <w:hideMark/>
          </w:tcPr>
          <w:p w14:paraId="074807B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715BC85F"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R13</w:t>
            </w:r>
          </w:p>
        </w:tc>
        <w:tc>
          <w:tcPr>
            <w:tcW w:w="0" w:type="auto"/>
            <w:tcMar>
              <w:top w:w="15" w:type="dxa"/>
              <w:left w:w="15" w:type="dxa"/>
              <w:bottom w:w="15" w:type="dxa"/>
              <w:right w:w="15" w:type="dxa"/>
            </w:tcMar>
            <w:vAlign w:val="center"/>
            <w:hideMark/>
          </w:tcPr>
          <w:p w14:paraId="6922D1C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Analizo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que </w:t>
            </w:r>
            <w:proofErr w:type="spellStart"/>
            <w:r w:rsidRPr="001E357C">
              <w:rPr>
                <w:rFonts w:ascii="Times New Roman" w:hAnsi="Times New Roman" w:cs="Times New Roman"/>
                <w:lang w:val="en-US"/>
              </w:rPr>
              <w:t>ofrece</w:t>
            </w:r>
            <w:proofErr w:type="spellEnd"/>
            <w:r w:rsidRPr="001E357C">
              <w:rPr>
                <w:rFonts w:ascii="Times New Roman" w:hAnsi="Times New Roman" w:cs="Times New Roman"/>
                <w:lang w:val="en-US"/>
              </w:rPr>
              <w:t xml:space="preserve"> la IAG es </w:t>
            </w:r>
            <w:proofErr w:type="spellStart"/>
            <w:r w:rsidRPr="001E357C">
              <w:rPr>
                <w:rFonts w:ascii="Times New Roman" w:hAnsi="Times New Roman" w:cs="Times New Roman"/>
                <w:lang w:val="en-US"/>
              </w:rPr>
              <w:t>coherente</w:t>
            </w:r>
            <w:proofErr w:type="spellEnd"/>
            <w:r w:rsidRPr="001E357C">
              <w:rPr>
                <w:rFonts w:ascii="Times New Roman" w:hAnsi="Times New Roman" w:cs="Times New Roman"/>
                <w:lang w:val="en-US"/>
              </w:rPr>
              <w:t xml:space="preserve"> con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contexto</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los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enfoques</w:t>
            </w:r>
            <w:proofErr w:type="spellEnd"/>
            <w:r w:rsidRPr="001E357C">
              <w:rPr>
                <w:rFonts w:ascii="Times New Roman" w:hAnsi="Times New Roman" w:cs="Times New Roman"/>
                <w:lang w:val="en-US"/>
              </w:rPr>
              <w:t xml:space="preserve"> de mi </w:t>
            </w:r>
            <w:proofErr w:type="spellStart"/>
            <w:r w:rsidRPr="001E357C">
              <w:rPr>
                <w:rFonts w:ascii="Times New Roman" w:hAnsi="Times New Roman" w:cs="Times New Roman"/>
                <w:lang w:val="en-US"/>
              </w:rPr>
              <w:t>disciplina</w:t>
            </w:r>
            <w:proofErr w:type="spellEnd"/>
            <w:r w:rsidRPr="001E357C">
              <w:rPr>
                <w:rFonts w:ascii="Times New Roman" w:hAnsi="Times New Roman" w:cs="Times New Roman"/>
                <w:lang w:val="en-US"/>
              </w:rPr>
              <w:t>.</w:t>
            </w:r>
          </w:p>
        </w:tc>
        <w:tc>
          <w:tcPr>
            <w:tcW w:w="0" w:type="auto"/>
            <w:vMerge/>
            <w:vAlign w:val="center"/>
            <w:hideMark/>
          </w:tcPr>
          <w:p w14:paraId="77D5D30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3DCEB2EB" w14:textId="77777777" w:rsidTr="00AF5455">
        <w:trPr>
          <w:tblCellSpacing w:w="15" w:type="dxa"/>
        </w:trPr>
        <w:tc>
          <w:tcPr>
            <w:tcW w:w="0" w:type="auto"/>
            <w:vMerge/>
            <w:tcBorders>
              <w:top w:val="single" w:sz="4" w:space="0" w:color="auto"/>
              <w:left w:val="nil"/>
              <w:bottom w:val="nil"/>
              <w:right w:val="nil"/>
            </w:tcBorders>
            <w:vAlign w:val="center"/>
            <w:hideMark/>
          </w:tcPr>
          <w:p w14:paraId="57813BC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13E030E5"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R14</w:t>
            </w:r>
          </w:p>
        </w:tc>
        <w:tc>
          <w:tcPr>
            <w:tcW w:w="0" w:type="auto"/>
            <w:tcMar>
              <w:top w:w="15" w:type="dxa"/>
              <w:left w:w="15" w:type="dxa"/>
              <w:bottom w:w="15" w:type="dxa"/>
              <w:right w:w="15" w:type="dxa"/>
            </w:tcMar>
            <w:vAlign w:val="center"/>
            <w:hideMark/>
          </w:tcPr>
          <w:p w14:paraId="1AC0799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Modifico</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complemento</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que me da la IAG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no se </w:t>
            </w:r>
            <w:proofErr w:type="spellStart"/>
            <w:r w:rsidRPr="001E357C">
              <w:rPr>
                <w:rFonts w:ascii="Times New Roman" w:hAnsi="Times New Roman" w:cs="Times New Roman"/>
                <w:lang w:val="en-US"/>
              </w:rPr>
              <w:t>ajusta</w:t>
            </w:r>
            <w:proofErr w:type="spellEnd"/>
            <w:r w:rsidRPr="001E357C">
              <w:rPr>
                <w:rFonts w:ascii="Times New Roman" w:hAnsi="Times New Roman" w:cs="Times New Roman"/>
                <w:lang w:val="en-US"/>
              </w:rPr>
              <w:t xml:space="preserve"> a las </w:t>
            </w:r>
            <w:proofErr w:type="spellStart"/>
            <w:r w:rsidRPr="001E357C">
              <w:rPr>
                <w:rFonts w:ascii="Times New Roman" w:hAnsi="Times New Roman" w:cs="Times New Roman"/>
                <w:lang w:val="en-US"/>
              </w:rPr>
              <w:t>particularidades</w:t>
            </w:r>
            <w:proofErr w:type="spellEnd"/>
            <w:r w:rsidRPr="001E357C">
              <w:rPr>
                <w:rFonts w:ascii="Times New Roman" w:hAnsi="Times New Roman" w:cs="Times New Roman"/>
                <w:lang w:val="en-US"/>
              </w:rPr>
              <w:t xml:space="preserve"> de mi </w:t>
            </w:r>
            <w:proofErr w:type="spellStart"/>
            <w:r w:rsidRPr="001E357C">
              <w:rPr>
                <w:rFonts w:ascii="Times New Roman" w:hAnsi="Times New Roman" w:cs="Times New Roman"/>
                <w:lang w:val="en-US"/>
              </w:rPr>
              <w:t>disciplina</w:t>
            </w:r>
            <w:proofErr w:type="spellEnd"/>
            <w:r w:rsidRPr="001E357C">
              <w:rPr>
                <w:rFonts w:ascii="Times New Roman" w:hAnsi="Times New Roman" w:cs="Times New Roman"/>
                <w:lang w:val="en-US"/>
              </w:rPr>
              <w:t>.</w:t>
            </w:r>
          </w:p>
        </w:tc>
        <w:tc>
          <w:tcPr>
            <w:tcW w:w="0" w:type="auto"/>
            <w:vMerge/>
            <w:vAlign w:val="center"/>
            <w:hideMark/>
          </w:tcPr>
          <w:p w14:paraId="65064D4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0245195D" w14:textId="77777777" w:rsidTr="00AF5455">
        <w:trPr>
          <w:tblCellSpacing w:w="15" w:type="dxa"/>
        </w:trPr>
        <w:tc>
          <w:tcPr>
            <w:tcW w:w="0" w:type="auto"/>
            <w:vMerge w:val="restart"/>
            <w:tcBorders>
              <w:top w:val="single" w:sz="4" w:space="0" w:color="auto"/>
              <w:left w:val="nil"/>
              <w:bottom w:val="nil"/>
              <w:right w:val="nil"/>
            </w:tcBorders>
            <w:tcMar>
              <w:top w:w="15" w:type="dxa"/>
              <w:left w:w="15" w:type="dxa"/>
              <w:bottom w:w="15" w:type="dxa"/>
              <w:right w:w="15" w:type="dxa"/>
            </w:tcMar>
            <w:vAlign w:val="center"/>
            <w:hideMark/>
          </w:tcPr>
          <w:p w14:paraId="3DB2C85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b/>
                <w:bCs/>
                <w:lang w:val="en-US"/>
              </w:rPr>
              <w:t>Evaluación</w:t>
            </w:r>
            <w:proofErr w:type="spellEnd"/>
            <w:r w:rsidRPr="001E357C">
              <w:rPr>
                <w:rFonts w:ascii="Times New Roman" w:hAnsi="Times New Roman" w:cs="Times New Roman"/>
                <w:b/>
                <w:bCs/>
                <w:lang w:val="en-US"/>
              </w:rPr>
              <w:t xml:space="preserve"> </w:t>
            </w:r>
            <w:proofErr w:type="spellStart"/>
            <w:r w:rsidRPr="001E357C">
              <w:rPr>
                <w:rFonts w:ascii="Times New Roman" w:hAnsi="Times New Roman" w:cs="Times New Roman"/>
                <w:b/>
                <w:bCs/>
                <w:lang w:val="en-US"/>
              </w:rPr>
              <w:t>crítica</w:t>
            </w:r>
            <w:proofErr w:type="spellEnd"/>
            <w:r w:rsidRPr="001E357C">
              <w:rPr>
                <w:rFonts w:ascii="Times New Roman" w:hAnsi="Times New Roman" w:cs="Times New Roman"/>
                <w:b/>
                <w:bCs/>
                <w:lang w:val="en-US"/>
              </w:rPr>
              <w:t xml:space="preserve"> de la </w:t>
            </w:r>
            <w:proofErr w:type="spellStart"/>
            <w:r w:rsidRPr="001E357C">
              <w:rPr>
                <w:rFonts w:ascii="Times New Roman" w:hAnsi="Times New Roman" w:cs="Times New Roman"/>
                <w:b/>
                <w:bCs/>
                <w:lang w:val="en-US"/>
              </w:rPr>
              <w:t>información</w:t>
            </w:r>
            <w:proofErr w:type="spellEnd"/>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0EBBE1A9"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R18</w:t>
            </w:r>
          </w:p>
        </w:tc>
        <w:tc>
          <w:tcPr>
            <w:tcW w:w="0" w:type="auto"/>
            <w:tcBorders>
              <w:top w:val="single" w:sz="4" w:space="0" w:color="auto"/>
              <w:left w:val="nil"/>
              <w:bottom w:val="nil"/>
              <w:right w:val="nil"/>
            </w:tcBorders>
            <w:tcMar>
              <w:top w:w="15" w:type="dxa"/>
              <w:left w:w="15" w:type="dxa"/>
              <w:bottom w:w="15" w:type="dxa"/>
              <w:right w:w="15" w:type="dxa"/>
            </w:tcMar>
            <w:vAlign w:val="center"/>
            <w:hideMark/>
          </w:tcPr>
          <w:p w14:paraId="58CCCB2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Reviso</w:t>
            </w:r>
            <w:proofErr w:type="spellEnd"/>
            <w:r w:rsidRPr="001E357C">
              <w:rPr>
                <w:rFonts w:ascii="Times New Roman" w:hAnsi="Times New Roman" w:cs="Times New Roman"/>
                <w:lang w:val="en-US"/>
              </w:rPr>
              <w:t xml:space="preserve"> que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generada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IAG sea </w:t>
            </w:r>
            <w:proofErr w:type="spellStart"/>
            <w:r w:rsidRPr="001E357C">
              <w:rPr>
                <w:rFonts w:ascii="Times New Roman" w:hAnsi="Times New Roman" w:cs="Times New Roman"/>
                <w:lang w:val="en-US"/>
              </w:rPr>
              <w:t>precisa</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esté</w:t>
            </w:r>
            <w:proofErr w:type="spellEnd"/>
            <w:r w:rsidRPr="001E357C">
              <w:rPr>
                <w:rFonts w:ascii="Times New Roman" w:hAnsi="Times New Roman" w:cs="Times New Roman"/>
                <w:lang w:val="en-US"/>
              </w:rPr>
              <w:t xml:space="preserve"> libre de </w:t>
            </w:r>
            <w:proofErr w:type="spellStart"/>
            <w:r w:rsidRPr="001E357C">
              <w:rPr>
                <w:rFonts w:ascii="Times New Roman" w:hAnsi="Times New Roman" w:cs="Times New Roman"/>
                <w:lang w:val="en-US"/>
              </w:rPr>
              <w:t>errores</w:t>
            </w:r>
            <w:proofErr w:type="spellEnd"/>
            <w:r w:rsidRPr="001E357C">
              <w:rPr>
                <w:rFonts w:ascii="Times New Roman" w:hAnsi="Times New Roman" w:cs="Times New Roman"/>
                <w:lang w:val="en-US"/>
              </w:rPr>
              <w:t>.</w:t>
            </w:r>
          </w:p>
        </w:tc>
        <w:tc>
          <w:tcPr>
            <w:tcW w:w="0" w:type="auto"/>
            <w:vMerge w:val="restart"/>
            <w:tcBorders>
              <w:top w:val="single" w:sz="4" w:space="0" w:color="auto"/>
              <w:left w:val="nil"/>
              <w:bottom w:val="nil"/>
              <w:right w:val="nil"/>
            </w:tcBorders>
            <w:tcMar>
              <w:top w:w="15" w:type="dxa"/>
              <w:left w:w="15" w:type="dxa"/>
              <w:bottom w:w="15" w:type="dxa"/>
              <w:right w:w="15" w:type="dxa"/>
            </w:tcMar>
            <w:vAlign w:val="center"/>
            <w:hideMark/>
          </w:tcPr>
          <w:p w14:paraId="4399E72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Preocuparse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exactitud</w:t>
            </w:r>
            <w:proofErr w:type="spellEnd"/>
          </w:p>
        </w:tc>
      </w:tr>
      <w:tr w:rsidR="001E357C" w:rsidRPr="001E357C" w14:paraId="290F91AD" w14:textId="77777777" w:rsidTr="00AF5455">
        <w:trPr>
          <w:tblCellSpacing w:w="15" w:type="dxa"/>
        </w:trPr>
        <w:tc>
          <w:tcPr>
            <w:tcW w:w="0" w:type="auto"/>
            <w:vMerge/>
            <w:tcBorders>
              <w:top w:val="single" w:sz="4" w:space="0" w:color="auto"/>
              <w:left w:val="nil"/>
              <w:bottom w:val="nil"/>
              <w:right w:val="nil"/>
            </w:tcBorders>
            <w:vAlign w:val="center"/>
            <w:hideMark/>
          </w:tcPr>
          <w:p w14:paraId="2FEAAAA0"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58A08B8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R19</w:t>
            </w:r>
          </w:p>
        </w:tc>
        <w:tc>
          <w:tcPr>
            <w:tcW w:w="0" w:type="auto"/>
            <w:tcMar>
              <w:top w:w="15" w:type="dxa"/>
              <w:left w:w="15" w:type="dxa"/>
              <w:bottom w:w="15" w:type="dxa"/>
              <w:right w:w="15" w:type="dxa"/>
            </w:tcMar>
            <w:vAlign w:val="center"/>
            <w:hideMark/>
          </w:tcPr>
          <w:p w14:paraId="22167F6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Contrasto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los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datos</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cifras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proporcionados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IAG con </w:t>
            </w:r>
            <w:proofErr w:type="spellStart"/>
            <w:r w:rsidRPr="001E357C">
              <w:rPr>
                <w:rFonts w:ascii="Times New Roman" w:hAnsi="Times New Roman" w:cs="Times New Roman"/>
                <w:lang w:val="en-US"/>
              </w:rPr>
              <w:t>otras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fuentes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verificadas</w:t>
            </w:r>
            <w:proofErr w:type="spellEnd"/>
            <w:r w:rsidRPr="001E357C">
              <w:rPr>
                <w:rFonts w:ascii="Times New Roman" w:hAnsi="Times New Roman" w:cs="Times New Roman"/>
                <w:lang w:val="en-US"/>
              </w:rPr>
              <w:t>.</w:t>
            </w:r>
          </w:p>
        </w:tc>
        <w:tc>
          <w:tcPr>
            <w:tcW w:w="0" w:type="auto"/>
            <w:vMerge/>
            <w:tcBorders>
              <w:top w:val="single" w:sz="4" w:space="0" w:color="auto"/>
              <w:left w:val="nil"/>
              <w:bottom w:val="nil"/>
              <w:right w:val="nil"/>
            </w:tcBorders>
            <w:vAlign w:val="center"/>
            <w:hideMark/>
          </w:tcPr>
          <w:p w14:paraId="5421A04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7ECC1641" w14:textId="77777777" w:rsidTr="00AF5455">
        <w:trPr>
          <w:tblCellSpacing w:w="15" w:type="dxa"/>
        </w:trPr>
        <w:tc>
          <w:tcPr>
            <w:tcW w:w="0" w:type="auto"/>
            <w:vMerge/>
            <w:tcBorders>
              <w:top w:val="single" w:sz="4" w:space="0" w:color="auto"/>
              <w:left w:val="nil"/>
              <w:bottom w:val="nil"/>
              <w:right w:val="nil"/>
            </w:tcBorders>
            <w:vAlign w:val="center"/>
            <w:hideMark/>
          </w:tcPr>
          <w:p w14:paraId="55545C4F"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206620F6"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R20</w:t>
            </w:r>
          </w:p>
        </w:tc>
        <w:tc>
          <w:tcPr>
            <w:tcW w:w="0" w:type="auto"/>
            <w:tcMar>
              <w:top w:w="15" w:type="dxa"/>
              <w:left w:w="15" w:type="dxa"/>
              <w:bottom w:w="15" w:type="dxa"/>
              <w:right w:w="15" w:type="dxa"/>
            </w:tcMar>
            <w:vAlign w:val="center"/>
            <w:hideMark/>
          </w:tcPr>
          <w:p w14:paraId="090B442E"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Verifico</w:t>
            </w:r>
            <w:proofErr w:type="spellEnd"/>
            <w:r w:rsidRPr="001E357C">
              <w:rPr>
                <w:rFonts w:ascii="Times New Roman" w:hAnsi="Times New Roman" w:cs="Times New Roman"/>
                <w:lang w:val="en-US"/>
              </w:rPr>
              <w:t xml:space="preserve"> que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proporcionada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IAG sea </w:t>
            </w:r>
            <w:proofErr w:type="spellStart"/>
            <w:r w:rsidRPr="001E357C">
              <w:rPr>
                <w:rFonts w:ascii="Times New Roman" w:hAnsi="Times New Roman" w:cs="Times New Roman"/>
                <w:lang w:val="en-US"/>
              </w:rPr>
              <w:t>específica</w:t>
            </w:r>
            <w:proofErr w:type="spellEnd"/>
            <w:r w:rsidRPr="001E357C">
              <w:rPr>
                <w:rFonts w:ascii="Times New Roman" w:hAnsi="Times New Roman" w:cs="Times New Roman"/>
                <w:lang w:val="en-US"/>
              </w:rPr>
              <w:t xml:space="preserve"> y </w:t>
            </w:r>
            <w:proofErr w:type="spellStart"/>
            <w:r w:rsidRPr="001E357C">
              <w:rPr>
                <w:rFonts w:ascii="Times New Roman" w:hAnsi="Times New Roman" w:cs="Times New Roman"/>
                <w:lang w:val="en-US"/>
              </w:rPr>
              <w:t>precisa</w:t>
            </w:r>
            <w:proofErr w:type="spellEnd"/>
            <w:r w:rsidRPr="001E357C">
              <w:rPr>
                <w:rFonts w:ascii="Times New Roman" w:hAnsi="Times New Roman" w:cs="Times New Roman"/>
                <w:lang w:val="en-US"/>
              </w:rPr>
              <w:t>.</w:t>
            </w:r>
          </w:p>
        </w:tc>
        <w:tc>
          <w:tcPr>
            <w:tcW w:w="0" w:type="auto"/>
            <w:vMerge/>
            <w:tcBorders>
              <w:top w:val="single" w:sz="4" w:space="0" w:color="auto"/>
              <w:left w:val="nil"/>
              <w:bottom w:val="nil"/>
              <w:right w:val="nil"/>
            </w:tcBorders>
            <w:vAlign w:val="center"/>
            <w:hideMark/>
          </w:tcPr>
          <w:p w14:paraId="10433EC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2A9C0787" w14:textId="77777777" w:rsidTr="00AF5455">
        <w:trPr>
          <w:tblCellSpacing w:w="15" w:type="dxa"/>
        </w:trPr>
        <w:tc>
          <w:tcPr>
            <w:tcW w:w="0" w:type="auto"/>
            <w:vMerge/>
            <w:tcBorders>
              <w:top w:val="single" w:sz="4" w:space="0" w:color="auto"/>
              <w:left w:val="nil"/>
              <w:bottom w:val="nil"/>
              <w:right w:val="nil"/>
            </w:tcBorders>
            <w:vAlign w:val="center"/>
            <w:hideMark/>
          </w:tcPr>
          <w:p w14:paraId="767EC42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7837246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R29</w:t>
            </w:r>
          </w:p>
        </w:tc>
        <w:tc>
          <w:tcPr>
            <w:tcW w:w="0" w:type="auto"/>
            <w:tcMar>
              <w:top w:w="15" w:type="dxa"/>
              <w:left w:w="15" w:type="dxa"/>
              <w:bottom w:w="15" w:type="dxa"/>
              <w:right w:w="15" w:type="dxa"/>
            </w:tcMar>
            <w:vAlign w:val="center"/>
            <w:hideMark/>
          </w:tcPr>
          <w:p w14:paraId="767BFAA6"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Evalúo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respuesta</w:t>
            </w:r>
            <w:proofErr w:type="spellEnd"/>
            <w:r w:rsidRPr="001E357C">
              <w:rPr>
                <w:rFonts w:ascii="Times New Roman" w:hAnsi="Times New Roman" w:cs="Times New Roman"/>
                <w:lang w:val="en-US"/>
              </w:rPr>
              <w:t xml:space="preserve"> de la IAG </w:t>
            </w:r>
            <w:proofErr w:type="spellStart"/>
            <w:r w:rsidRPr="001E357C">
              <w:rPr>
                <w:rFonts w:ascii="Times New Roman" w:hAnsi="Times New Roman" w:cs="Times New Roman"/>
                <w:lang w:val="en-US"/>
              </w:rPr>
              <w:t>incluye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nivel</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detalle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requerido</w:t>
            </w:r>
            <w:proofErr w:type="spellEnd"/>
            <w:r w:rsidRPr="001E357C">
              <w:rPr>
                <w:rFonts w:ascii="Times New Roman" w:hAnsi="Times New Roman" w:cs="Times New Roman"/>
                <w:lang w:val="en-US"/>
              </w:rPr>
              <w:t xml:space="preserve"> para </w:t>
            </w:r>
            <w:proofErr w:type="spellStart"/>
            <w:r w:rsidRPr="001E357C">
              <w:rPr>
                <w:rFonts w:ascii="Times New Roman" w:hAnsi="Times New Roman" w:cs="Times New Roman"/>
                <w:lang w:val="en-US"/>
              </w:rPr>
              <w:t>abordar</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adecuadamente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contenido</w:t>
            </w:r>
            <w:proofErr w:type="spellEnd"/>
            <w:r w:rsidRPr="001E357C">
              <w:rPr>
                <w:rFonts w:ascii="Times New Roman" w:hAnsi="Times New Roman" w:cs="Times New Roman"/>
                <w:lang w:val="en-US"/>
              </w:rPr>
              <w:t>.</w:t>
            </w:r>
          </w:p>
        </w:tc>
        <w:tc>
          <w:tcPr>
            <w:tcW w:w="0" w:type="auto"/>
            <w:vMerge w:val="restart"/>
            <w:tcBorders>
              <w:top w:val="nil"/>
              <w:left w:val="nil"/>
              <w:bottom w:val="single" w:sz="4" w:space="0" w:color="auto"/>
              <w:right w:val="nil"/>
            </w:tcBorders>
            <w:tcMar>
              <w:top w:w="15" w:type="dxa"/>
              <w:left w:w="15" w:type="dxa"/>
              <w:bottom w:w="15" w:type="dxa"/>
              <w:right w:w="15" w:type="dxa"/>
            </w:tcMar>
            <w:vAlign w:val="center"/>
            <w:hideMark/>
          </w:tcPr>
          <w:p w14:paraId="0D4BA8EB"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 xml:space="preserve">Ser sensible al </w:t>
            </w:r>
            <w:proofErr w:type="spellStart"/>
            <w:r w:rsidRPr="001E357C">
              <w:rPr>
                <w:rFonts w:ascii="Times New Roman" w:hAnsi="Times New Roman" w:cs="Times New Roman"/>
                <w:lang w:val="en-US"/>
              </w:rPr>
              <w:t>nivel</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detalle</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necesario</w:t>
            </w:r>
            <w:proofErr w:type="spellEnd"/>
          </w:p>
        </w:tc>
      </w:tr>
      <w:tr w:rsidR="001E357C" w:rsidRPr="001E357C" w14:paraId="0CD14615" w14:textId="77777777" w:rsidTr="00AF5455">
        <w:trPr>
          <w:tblCellSpacing w:w="15" w:type="dxa"/>
        </w:trPr>
        <w:tc>
          <w:tcPr>
            <w:tcW w:w="0" w:type="auto"/>
            <w:vMerge/>
            <w:tcBorders>
              <w:top w:val="single" w:sz="4" w:space="0" w:color="auto"/>
              <w:left w:val="nil"/>
              <w:bottom w:val="nil"/>
              <w:right w:val="nil"/>
            </w:tcBorders>
            <w:vAlign w:val="center"/>
            <w:hideMark/>
          </w:tcPr>
          <w:p w14:paraId="3ED99CCF"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Mar>
              <w:top w:w="15" w:type="dxa"/>
              <w:left w:w="15" w:type="dxa"/>
              <w:bottom w:w="15" w:type="dxa"/>
              <w:right w:w="15" w:type="dxa"/>
            </w:tcMar>
            <w:vAlign w:val="center"/>
            <w:hideMark/>
          </w:tcPr>
          <w:p w14:paraId="3D619814"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R30</w:t>
            </w:r>
          </w:p>
        </w:tc>
        <w:tc>
          <w:tcPr>
            <w:tcW w:w="0" w:type="auto"/>
            <w:tcMar>
              <w:top w:w="15" w:type="dxa"/>
              <w:left w:w="15" w:type="dxa"/>
              <w:bottom w:w="15" w:type="dxa"/>
              <w:right w:w="15" w:type="dxa"/>
            </w:tcMar>
            <w:vAlign w:val="center"/>
            <w:hideMark/>
          </w:tcPr>
          <w:p w14:paraId="6413F9CD"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Reflexiono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la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proporcionada</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por</w:t>
            </w:r>
            <w:proofErr w:type="spellEnd"/>
            <w:r w:rsidRPr="001E357C">
              <w:rPr>
                <w:rFonts w:ascii="Times New Roman" w:hAnsi="Times New Roman" w:cs="Times New Roman"/>
                <w:lang w:val="en-US"/>
              </w:rPr>
              <w:t xml:space="preserve"> la IAG es </w:t>
            </w:r>
            <w:proofErr w:type="spellStart"/>
            <w:r w:rsidRPr="001E357C">
              <w:rPr>
                <w:rFonts w:ascii="Times New Roman" w:hAnsi="Times New Roman" w:cs="Times New Roman"/>
                <w:lang w:val="en-US"/>
              </w:rPr>
              <w:t>suficiente</w:t>
            </w:r>
            <w:proofErr w:type="spellEnd"/>
            <w:r w:rsidRPr="001E357C">
              <w:rPr>
                <w:rFonts w:ascii="Times New Roman" w:hAnsi="Times New Roman" w:cs="Times New Roman"/>
                <w:lang w:val="en-US"/>
              </w:rPr>
              <w:t xml:space="preserve"> o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requiero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ampliar</w:t>
            </w:r>
            <w:proofErr w:type="spellEnd"/>
            <w:r w:rsidRPr="001E357C">
              <w:rPr>
                <w:rFonts w:ascii="Times New Roman" w:hAnsi="Times New Roman" w:cs="Times New Roman"/>
                <w:lang w:val="en-US"/>
              </w:rPr>
              <w:t xml:space="preserve"> mi </w:t>
            </w:r>
            <w:proofErr w:type="spellStart"/>
            <w:r w:rsidRPr="001E357C">
              <w:rPr>
                <w:rFonts w:ascii="Times New Roman" w:hAnsi="Times New Roman" w:cs="Times New Roman"/>
                <w:lang w:val="en-US"/>
              </w:rPr>
              <w:t>búsqueda</w:t>
            </w:r>
            <w:proofErr w:type="spellEnd"/>
            <w:r w:rsidRPr="001E357C">
              <w:rPr>
                <w:rFonts w:ascii="Times New Roman" w:hAnsi="Times New Roman" w:cs="Times New Roman"/>
                <w:lang w:val="en-US"/>
              </w:rPr>
              <w:t>.</w:t>
            </w:r>
          </w:p>
        </w:tc>
        <w:tc>
          <w:tcPr>
            <w:tcW w:w="0" w:type="auto"/>
            <w:vMerge/>
            <w:tcBorders>
              <w:top w:val="nil"/>
              <w:left w:val="nil"/>
              <w:bottom w:val="single" w:sz="4" w:space="0" w:color="auto"/>
              <w:right w:val="nil"/>
            </w:tcBorders>
            <w:vAlign w:val="center"/>
            <w:hideMark/>
          </w:tcPr>
          <w:p w14:paraId="6D6312B3"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r w:rsidR="001E357C" w:rsidRPr="001E357C" w14:paraId="7E938545" w14:textId="77777777" w:rsidTr="00AF5455">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37A3A37"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13183EBA"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r w:rsidRPr="001E357C">
              <w:rPr>
                <w:rFonts w:ascii="Times New Roman" w:hAnsi="Times New Roman" w:cs="Times New Roman"/>
                <w:lang w:val="en-US"/>
              </w:rPr>
              <w:t>R31</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242B2AE2"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roofErr w:type="spellStart"/>
            <w:r w:rsidRPr="001E357C">
              <w:rPr>
                <w:rFonts w:ascii="Times New Roman" w:hAnsi="Times New Roman" w:cs="Times New Roman"/>
                <w:lang w:val="en-US"/>
              </w:rPr>
              <w:t>Evalúo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si</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necesito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más</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información</w:t>
            </w:r>
            <w:proofErr w:type="spellEnd"/>
            <w:r w:rsidRPr="001E357C">
              <w:rPr>
                <w:rFonts w:ascii="Times New Roman" w:hAnsi="Times New Roman" w:cs="Times New Roman"/>
                <w:lang w:val="en-US"/>
              </w:rPr>
              <w:t xml:space="preserve"> que la que da la IAG.</w:t>
            </w:r>
          </w:p>
        </w:tc>
        <w:tc>
          <w:tcPr>
            <w:tcW w:w="0" w:type="auto"/>
            <w:vMerge/>
            <w:tcBorders>
              <w:top w:val="nil"/>
              <w:left w:val="nil"/>
              <w:bottom w:val="single" w:sz="4" w:space="0" w:color="auto"/>
              <w:right w:val="nil"/>
            </w:tcBorders>
            <w:vAlign w:val="center"/>
            <w:hideMark/>
          </w:tcPr>
          <w:p w14:paraId="2718D441" w14:textId="77777777" w:rsidR="00AF5455" w:rsidRPr="001E357C" w:rsidRDefault="00AF5455" w:rsidP="003E5A64">
            <w:pPr>
              <w:tabs>
                <w:tab w:val="left" w:pos="6330"/>
              </w:tabs>
              <w:spacing w:after="0" w:line="240" w:lineRule="auto"/>
              <w:jc w:val="both"/>
              <w:rPr>
                <w:rFonts w:ascii="Times New Roman" w:hAnsi="Times New Roman" w:cs="Times New Roman"/>
                <w:lang w:val="en-US"/>
              </w:rPr>
            </w:pPr>
          </w:p>
        </w:tc>
      </w:tr>
    </w:tbl>
    <w:p w14:paraId="7C6CA917" w14:textId="77777777" w:rsidR="00AF5455" w:rsidRDefault="00AF5455" w:rsidP="003E5A64">
      <w:pPr>
        <w:tabs>
          <w:tab w:val="left" w:pos="6330"/>
        </w:tabs>
        <w:spacing w:after="0" w:line="240" w:lineRule="auto"/>
        <w:jc w:val="center"/>
        <w:rPr>
          <w:rFonts w:ascii="Times New Roman" w:hAnsi="Times New Roman" w:cs="Times New Roman"/>
          <w:iCs/>
        </w:rPr>
      </w:pPr>
      <w:r w:rsidRPr="001E357C">
        <w:rPr>
          <w:rFonts w:ascii="Times New Roman" w:hAnsi="Times New Roman" w:cs="Times New Roman"/>
          <w:iCs/>
        </w:rPr>
        <w:t>Fuente: Elaboración propia con base en los resultados del análisis factorial y la reorganización teórica del instrumento (2025).</w:t>
      </w:r>
    </w:p>
    <w:p w14:paraId="0750E03B" w14:textId="77777777" w:rsidR="003E5A64" w:rsidRPr="001E357C" w:rsidRDefault="003E5A64" w:rsidP="003E5A64">
      <w:pPr>
        <w:tabs>
          <w:tab w:val="left" w:pos="6330"/>
        </w:tabs>
        <w:spacing w:after="0" w:line="240" w:lineRule="auto"/>
        <w:jc w:val="both"/>
        <w:rPr>
          <w:rFonts w:ascii="Times New Roman" w:hAnsi="Times New Roman" w:cs="Times New Roman"/>
          <w:iCs/>
        </w:rPr>
      </w:pPr>
    </w:p>
    <w:p w14:paraId="6F9FCF77"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Este proceso metodológico buscó preservar el fundamento teórico del modelo original, a Este proceso metodológico buscó </w:t>
      </w:r>
      <w:r w:rsidRPr="003E5A64">
        <w:rPr>
          <w:rFonts w:ascii="Times New Roman" w:hAnsi="Times New Roman" w:cs="Times New Roman"/>
        </w:rPr>
        <w:t>preservar el fundamento teórico del modelo original, a la par de garantizar una estructura empírica robusta y coherente. La investigación forma parte de un proyecto doctoral en curso en el marco del Doctorado en Innovación en Tecnología Educativa de la Universidad Autónoma de Querétaro, y fue aprobada conforme a los lineamientos éticos institucionales.</w:t>
      </w:r>
    </w:p>
    <w:p w14:paraId="11E15499"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60E6E8A9" w14:textId="77777777" w:rsidR="00AF5455" w:rsidRPr="003E5A64" w:rsidRDefault="00AF5455" w:rsidP="003E5A64">
      <w:pPr>
        <w:tabs>
          <w:tab w:val="left" w:pos="6330"/>
        </w:tabs>
        <w:spacing w:after="0" w:line="240" w:lineRule="auto"/>
        <w:jc w:val="center"/>
        <w:rPr>
          <w:rFonts w:ascii="Times New Roman" w:hAnsi="Times New Roman" w:cs="Times New Roman"/>
          <w:b/>
          <w:bCs/>
        </w:rPr>
      </w:pPr>
      <w:r w:rsidRPr="003E5A64">
        <w:rPr>
          <w:rFonts w:ascii="Times New Roman" w:hAnsi="Times New Roman" w:cs="Times New Roman"/>
          <w:b/>
          <w:bCs/>
        </w:rPr>
        <w:t>Resultados</w:t>
      </w:r>
    </w:p>
    <w:p w14:paraId="51C16307"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157892E8"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El AFE final evidenció una estructura de cuatro factores empíricamente coherente y estadísticamente robusta. El índice KMO obtenido fue de .941 y la prueba de esfericidad de Bartlett resultó significativa (χ² = 2465.37, </w:t>
      </w:r>
      <w:proofErr w:type="spellStart"/>
      <w:r w:rsidRPr="003E5A64">
        <w:rPr>
          <w:rFonts w:ascii="Times New Roman" w:hAnsi="Times New Roman" w:cs="Times New Roman"/>
          <w:i/>
          <w:iCs/>
        </w:rPr>
        <w:t>gl</w:t>
      </w:r>
      <w:proofErr w:type="spellEnd"/>
      <w:r w:rsidRPr="003E5A64">
        <w:rPr>
          <w:rFonts w:ascii="Times New Roman" w:hAnsi="Times New Roman" w:cs="Times New Roman"/>
        </w:rPr>
        <w:t xml:space="preserve"> = 210, </w:t>
      </w:r>
      <w:r w:rsidRPr="003E5A64">
        <w:rPr>
          <w:rFonts w:ascii="Times New Roman" w:hAnsi="Times New Roman" w:cs="Times New Roman"/>
          <w:i/>
          <w:iCs/>
        </w:rPr>
        <w:t>p</w:t>
      </w:r>
      <w:r w:rsidRPr="003E5A64">
        <w:rPr>
          <w:rFonts w:ascii="Times New Roman" w:hAnsi="Times New Roman" w:cs="Times New Roman"/>
        </w:rPr>
        <w:t xml:space="preserve"> &lt; .001), donde </w:t>
      </w:r>
      <w:proofErr w:type="spellStart"/>
      <w:r w:rsidRPr="003E5A64">
        <w:rPr>
          <w:rFonts w:ascii="Times New Roman" w:hAnsi="Times New Roman" w:cs="Times New Roman"/>
          <w:i/>
          <w:iCs/>
        </w:rPr>
        <w:t>gl</w:t>
      </w:r>
      <w:proofErr w:type="spellEnd"/>
      <w:r w:rsidRPr="003E5A64">
        <w:rPr>
          <w:rFonts w:ascii="Times New Roman" w:hAnsi="Times New Roman" w:cs="Times New Roman"/>
        </w:rPr>
        <w:t xml:space="preserve"> representa los grados de libertad, es decir, la cantidad de parámetros que pueden variar sin infringir las restricciones del modelo estadístico.  Estos resultados </w:t>
      </w:r>
      <w:r w:rsidRPr="003E5A64">
        <w:rPr>
          <w:rFonts w:ascii="Times New Roman" w:hAnsi="Times New Roman" w:cs="Times New Roman"/>
        </w:rPr>
        <w:lastRenderedPageBreak/>
        <w:t>confirmaron la idoneidad de la matriz de correlaciones para el análisis y respaldan el uso del AFE</w:t>
      </w:r>
      <w:r w:rsidRPr="001E357C">
        <w:rPr>
          <w:rFonts w:ascii="Times New Roman" w:hAnsi="Times New Roman" w:cs="Times New Roman"/>
        </w:rPr>
        <w:t xml:space="preserve"> como técnica válida para identificar estructuras latentes, </w:t>
      </w:r>
      <w:r w:rsidRPr="003E5A64">
        <w:rPr>
          <w:rFonts w:ascii="Times New Roman" w:hAnsi="Times New Roman" w:cs="Times New Roman"/>
        </w:rPr>
        <w:t>especialmente cuando se parte de un marco teórico definido, como recomiendan Méndez Martínez y Rondón Sepúlveda (2012).</w:t>
      </w:r>
    </w:p>
    <w:p w14:paraId="713BDD63"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4DA89D41" w14:textId="77777777" w:rsidR="00AF5455"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Las cargas factoriales oscilaron entre .63 y .86, con unicidades por debajo de .50, lo cual sugiere que más del 50 % de la varianza de cada ítem es explicada por el factor correspondiente,</w:t>
      </w:r>
      <w:r w:rsidRPr="001E357C">
        <w:rPr>
          <w:rFonts w:ascii="Times New Roman" w:hAnsi="Times New Roman" w:cs="Times New Roman"/>
        </w:rPr>
        <w:t xml:space="preserve"> indicando así una apropiada contribución de cada ítem a su dimensión. La varianza total explicada por los cuatro factores fue de 55.3 %, lo que se considera aceptable para estudios en ciencias sociales con constructos complejos como las disposiciones al pensamiento crítico.</w:t>
      </w:r>
    </w:p>
    <w:p w14:paraId="44F69C2C"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58A5B1AF"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En términos de confiabilidad, el coeficiente alfa de Cronbach global fue de .951 (IC 95 %: .937–.965), lo que evidencia una consistencia interna excelente. A nivel de subescalas, los resultados por subescala también indicaron una confiabilidad adecuada: .848 para </w:t>
      </w:r>
      <w:r w:rsidRPr="001E357C">
        <w:rPr>
          <w:rFonts w:ascii="Times New Roman" w:hAnsi="Times New Roman" w:cs="Times New Roman"/>
          <w:bCs/>
        </w:rPr>
        <w:t>rigor en el proceso de indagación</w:t>
      </w:r>
      <w:r w:rsidRPr="001E357C">
        <w:rPr>
          <w:rFonts w:ascii="Times New Roman" w:hAnsi="Times New Roman" w:cs="Times New Roman"/>
        </w:rPr>
        <w:t xml:space="preserve">, .778 para </w:t>
      </w:r>
      <w:r w:rsidRPr="001E357C">
        <w:rPr>
          <w:rFonts w:ascii="Times New Roman" w:hAnsi="Times New Roman" w:cs="Times New Roman"/>
          <w:bCs/>
        </w:rPr>
        <w:t>flexibilidad cognitiva</w:t>
      </w:r>
      <w:r w:rsidRPr="001E357C">
        <w:rPr>
          <w:rFonts w:ascii="Times New Roman" w:hAnsi="Times New Roman" w:cs="Times New Roman"/>
        </w:rPr>
        <w:t xml:space="preserve">, .863 para </w:t>
      </w:r>
      <w:r w:rsidRPr="001E357C">
        <w:rPr>
          <w:rFonts w:ascii="Times New Roman" w:hAnsi="Times New Roman" w:cs="Times New Roman"/>
          <w:bCs/>
        </w:rPr>
        <w:t>pensamiento reflexivo contextualizado</w:t>
      </w:r>
      <w:r w:rsidRPr="001E357C">
        <w:rPr>
          <w:rFonts w:ascii="Times New Roman" w:hAnsi="Times New Roman" w:cs="Times New Roman"/>
        </w:rPr>
        <w:t xml:space="preserve">, y .887 para </w:t>
      </w:r>
      <w:r w:rsidRPr="001E357C">
        <w:rPr>
          <w:rFonts w:ascii="Times New Roman" w:hAnsi="Times New Roman" w:cs="Times New Roman"/>
          <w:bCs/>
        </w:rPr>
        <w:t>evaluación crítica de la información</w:t>
      </w:r>
      <w:r w:rsidRPr="001E357C">
        <w:rPr>
          <w:rFonts w:ascii="Times New Roman" w:hAnsi="Times New Roman" w:cs="Times New Roman"/>
        </w:rPr>
        <w:t>.</w:t>
      </w:r>
    </w:p>
    <w:p w14:paraId="344A3640"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679E7611"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Los hallazgos permiten concluir que el instrumento validado presenta una estructura interna estable y consistente. La reagrupación de diez de las disposiciones originales de Ennis en cuatro factores emergentes no solo mantuvo su integridad conceptual, sino que también optimizó el comportamiento psicométrico de la escala, consolidándola como una herramienta confiable para el diagnóstico de disposiciones al pensamiento crítico en contextos de uso académico de IAG.</w:t>
      </w:r>
    </w:p>
    <w:p w14:paraId="67314D45"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45244ECE"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Como complemento a los indicadores de validez estructural y confiabilidad interna, se calcularon estadísticos descriptivos por cada dimensión emergente del instrumento, con el objetivo de ofrecer </w:t>
      </w:r>
      <w:r w:rsidRPr="001E357C">
        <w:rPr>
          <w:rFonts w:ascii="Times New Roman" w:hAnsi="Times New Roman" w:cs="Times New Roman"/>
          <w:bCs/>
        </w:rPr>
        <w:t>normas preliminares de interpretación</w:t>
      </w:r>
      <w:r w:rsidRPr="001E357C">
        <w:rPr>
          <w:rFonts w:ascii="Times New Roman" w:hAnsi="Times New Roman" w:cs="Times New Roman"/>
        </w:rPr>
        <w:t>. Estos valores permiten identificar tendencias generales en las respuestas del estudiantado y ofrecen un punto de partida para su uso con fines diagnósticos o formativos.</w:t>
      </w:r>
    </w:p>
    <w:p w14:paraId="6682848C"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1CF00C81" w14:textId="52E52986"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Tabla </w:t>
      </w:r>
      <w:r w:rsidR="003E5A64" w:rsidRPr="003E5A64">
        <w:rPr>
          <w:rFonts w:ascii="Times New Roman" w:hAnsi="Times New Roman" w:cs="Times New Roman"/>
        </w:rPr>
        <w:t>4</w:t>
      </w:r>
      <w:r w:rsidRPr="003E5A64">
        <w:rPr>
          <w:rFonts w:ascii="Times New Roman" w:hAnsi="Times New Roman" w:cs="Times New Roman"/>
        </w:rPr>
        <w:t>. Estadísticos descriptivos y percentiles por dimensión emergente del instrumento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061"/>
        <w:gridCol w:w="870"/>
        <w:gridCol w:w="756"/>
        <w:gridCol w:w="756"/>
        <w:gridCol w:w="756"/>
        <w:gridCol w:w="1194"/>
        <w:gridCol w:w="1270"/>
        <w:gridCol w:w="1270"/>
      </w:tblGrid>
      <w:tr w:rsidR="001E357C" w:rsidRPr="001E357C" w14:paraId="546DC183" w14:textId="77777777" w:rsidTr="00AF5455">
        <w:tc>
          <w:tcPr>
            <w:tcW w:w="1712" w:type="dxa"/>
            <w:tcBorders>
              <w:top w:val="single" w:sz="4" w:space="0" w:color="auto"/>
              <w:left w:val="nil"/>
              <w:bottom w:val="single" w:sz="4" w:space="0" w:color="auto"/>
              <w:right w:val="nil"/>
            </w:tcBorders>
            <w:hideMark/>
          </w:tcPr>
          <w:p w14:paraId="401C7845" w14:textId="77777777" w:rsidR="00AF5455" w:rsidRPr="001E357C" w:rsidRDefault="00AF5455" w:rsidP="003E5A64">
            <w:pPr>
              <w:tabs>
                <w:tab w:val="left" w:pos="6330"/>
              </w:tabs>
              <w:jc w:val="both"/>
              <w:rPr>
                <w:rFonts w:ascii="Times New Roman" w:hAnsi="Times New Roman" w:cs="Times New Roman"/>
                <w:b/>
                <w:lang w:val="en-US"/>
              </w:rPr>
            </w:pPr>
            <w:proofErr w:type="spellStart"/>
            <w:r w:rsidRPr="001E357C">
              <w:rPr>
                <w:rFonts w:ascii="Times New Roman" w:hAnsi="Times New Roman" w:cs="Times New Roman"/>
                <w:b/>
                <w:lang w:val="en-US"/>
              </w:rPr>
              <w:t>Dimensión</w:t>
            </w:r>
            <w:proofErr w:type="spellEnd"/>
          </w:p>
        </w:tc>
        <w:tc>
          <w:tcPr>
            <w:tcW w:w="1061" w:type="dxa"/>
            <w:tcBorders>
              <w:top w:val="single" w:sz="4" w:space="0" w:color="auto"/>
              <w:left w:val="nil"/>
              <w:bottom w:val="single" w:sz="4" w:space="0" w:color="auto"/>
              <w:right w:val="nil"/>
            </w:tcBorders>
            <w:hideMark/>
          </w:tcPr>
          <w:p w14:paraId="1F3ECCE1" w14:textId="77777777" w:rsidR="00AF5455" w:rsidRPr="001E357C" w:rsidRDefault="00AF5455" w:rsidP="003E5A64">
            <w:pPr>
              <w:tabs>
                <w:tab w:val="left" w:pos="6330"/>
              </w:tabs>
              <w:jc w:val="both"/>
              <w:rPr>
                <w:rFonts w:ascii="Times New Roman" w:hAnsi="Times New Roman" w:cs="Times New Roman"/>
                <w:b/>
                <w:lang w:val="en-US"/>
              </w:rPr>
            </w:pPr>
            <w:r w:rsidRPr="001E357C">
              <w:rPr>
                <w:rFonts w:ascii="Times New Roman" w:hAnsi="Times New Roman" w:cs="Times New Roman"/>
                <w:b/>
                <w:lang w:val="en-US"/>
              </w:rPr>
              <w:t xml:space="preserve">Cant. </w:t>
            </w:r>
            <w:proofErr w:type="spellStart"/>
            <w:r w:rsidRPr="001E357C">
              <w:rPr>
                <w:rFonts w:ascii="Times New Roman" w:hAnsi="Times New Roman" w:cs="Times New Roman"/>
                <w:b/>
                <w:lang w:val="en-US"/>
              </w:rPr>
              <w:t>ítems</w:t>
            </w:r>
            <w:proofErr w:type="spellEnd"/>
          </w:p>
        </w:tc>
        <w:tc>
          <w:tcPr>
            <w:tcW w:w="776" w:type="dxa"/>
            <w:tcBorders>
              <w:top w:val="single" w:sz="4" w:space="0" w:color="auto"/>
              <w:left w:val="nil"/>
              <w:bottom w:val="single" w:sz="4" w:space="0" w:color="auto"/>
              <w:right w:val="nil"/>
            </w:tcBorders>
            <w:hideMark/>
          </w:tcPr>
          <w:p w14:paraId="47469719" w14:textId="77777777" w:rsidR="00AF5455" w:rsidRPr="001E357C" w:rsidRDefault="00AF5455" w:rsidP="003E5A64">
            <w:pPr>
              <w:tabs>
                <w:tab w:val="left" w:pos="6330"/>
              </w:tabs>
              <w:jc w:val="both"/>
              <w:rPr>
                <w:rFonts w:ascii="Times New Roman" w:hAnsi="Times New Roman" w:cs="Times New Roman"/>
                <w:b/>
                <w:lang w:val="en-US"/>
              </w:rPr>
            </w:pPr>
            <w:r w:rsidRPr="001E357C">
              <w:rPr>
                <w:rFonts w:ascii="Times New Roman" w:hAnsi="Times New Roman" w:cs="Times New Roman"/>
                <w:b/>
                <w:lang w:val="en-US"/>
              </w:rPr>
              <w:t>Media</w:t>
            </w:r>
          </w:p>
        </w:tc>
        <w:tc>
          <w:tcPr>
            <w:tcW w:w="755" w:type="dxa"/>
            <w:tcBorders>
              <w:top w:val="single" w:sz="4" w:space="0" w:color="auto"/>
              <w:left w:val="nil"/>
              <w:bottom w:val="single" w:sz="4" w:space="0" w:color="auto"/>
              <w:right w:val="nil"/>
            </w:tcBorders>
            <w:hideMark/>
          </w:tcPr>
          <w:p w14:paraId="7A1F7F3B" w14:textId="77777777" w:rsidR="00AF5455" w:rsidRPr="001E357C" w:rsidRDefault="00AF5455" w:rsidP="003E5A64">
            <w:pPr>
              <w:tabs>
                <w:tab w:val="left" w:pos="6330"/>
              </w:tabs>
              <w:jc w:val="both"/>
              <w:rPr>
                <w:rFonts w:ascii="Times New Roman" w:hAnsi="Times New Roman" w:cs="Times New Roman"/>
                <w:b/>
                <w:lang w:val="en-US"/>
              </w:rPr>
            </w:pPr>
            <w:r w:rsidRPr="001E357C">
              <w:rPr>
                <w:rFonts w:ascii="Times New Roman" w:hAnsi="Times New Roman" w:cs="Times New Roman"/>
                <w:b/>
                <w:lang w:val="en-US"/>
              </w:rPr>
              <w:t>DE</w:t>
            </w:r>
          </w:p>
        </w:tc>
        <w:tc>
          <w:tcPr>
            <w:tcW w:w="755" w:type="dxa"/>
            <w:tcBorders>
              <w:top w:val="single" w:sz="4" w:space="0" w:color="auto"/>
              <w:left w:val="nil"/>
              <w:bottom w:val="single" w:sz="4" w:space="0" w:color="auto"/>
              <w:right w:val="nil"/>
            </w:tcBorders>
            <w:hideMark/>
          </w:tcPr>
          <w:p w14:paraId="256102E1" w14:textId="77777777" w:rsidR="00AF5455" w:rsidRPr="001E357C" w:rsidRDefault="00AF5455" w:rsidP="003E5A64">
            <w:pPr>
              <w:tabs>
                <w:tab w:val="left" w:pos="6330"/>
              </w:tabs>
              <w:jc w:val="both"/>
              <w:rPr>
                <w:rFonts w:ascii="Times New Roman" w:hAnsi="Times New Roman" w:cs="Times New Roman"/>
                <w:b/>
                <w:lang w:val="en-US"/>
              </w:rPr>
            </w:pPr>
            <w:proofErr w:type="spellStart"/>
            <w:r w:rsidRPr="001E357C">
              <w:rPr>
                <w:rFonts w:ascii="Times New Roman" w:hAnsi="Times New Roman" w:cs="Times New Roman"/>
                <w:b/>
                <w:lang w:val="en-US"/>
              </w:rPr>
              <w:t>Mín</w:t>
            </w:r>
            <w:proofErr w:type="spellEnd"/>
            <w:r w:rsidRPr="001E357C">
              <w:rPr>
                <w:rFonts w:ascii="Times New Roman" w:hAnsi="Times New Roman" w:cs="Times New Roman"/>
                <w:b/>
                <w:lang w:val="en-US"/>
              </w:rPr>
              <w:t>.</w:t>
            </w:r>
          </w:p>
        </w:tc>
        <w:tc>
          <w:tcPr>
            <w:tcW w:w="611" w:type="dxa"/>
            <w:tcBorders>
              <w:top w:val="single" w:sz="4" w:space="0" w:color="auto"/>
              <w:left w:val="nil"/>
              <w:bottom w:val="single" w:sz="4" w:space="0" w:color="auto"/>
              <w:right w:val="nil"/>
            </w:tcBorders>
            <w:hideMark/>
          </w:tcPr>
          <w:p w14:paraId="15B842BD" w14:textId="77777777" w:rsidR="00AF5455" w:rsidRPr="001E357C" w:rsidRDefault="00AF5455" w:rsidP="003E5A64">
            <w:pPr>
              <w:tabs>
                <w:tab w:val="left" w:pos="6330"/>
              </w:tabs>
              <w:jc w:val="both"/>
              <w:rPr>
                <w:rFonts w:ascii="Times New Roman" w:hAnsi="Times New Roman" w:cs="Times New Roman"/>
                <w:b/>
                <w:lang w:val="en-US"/>
              </w:rPr>
            </w:pPr>
            <w:proofErr w:type="spellStart"/>
            <w:r w:rsidRPr="001E357C">
              <w:rPr>
                <w:rFonts w:ascii="Times New Roman" w:hAnsi="Times New Roman" w:cs="Times New Roman"/>
                <w:b/>
                <w:lang w:val="en-US"/>
              </w:rPr>
              <w:t>Máx</w:t>
            </w:r>
            <w:proofErr w:type="spellEnd"/>
            <w:r w:rsidRPr="001E357C">
              <w:rPr>
                <w:rFonts w:ascii="Times New Roman" w:hAnsi="Times New Roman" w:cs="Times New Roman"/>
                <w:b/>
                <w:lang w:val="en-US"/>
              </w:rPr>
              <w:t>.</w:t>
            </w:r>
          </w:p>
        </w:tc>
        <w:tc>
          <w:tcPr>
            <w:tcW w:w="1194" w:type="dxa"/>
            <w:tcBorders>
              <w:top w:val="single" w:sz="4" w:space="0" w:color="auto"/>
              <w:left w:val="nil"/>
              <w:bottom w:val="single" w:sz="4" w:space="0" w:color="auto"/>
              <w:right w:val="nil"/>
            </w:tcBorders>
            <w:hideMark/>
          </w:tcPr>
          <w:p w14:paraId="58E50DB2" w14:textId="77777777" w:rsidR="00AF5455" w:rsidRPr="001E357C" w:rsidRDefault="00AF5455" w:rsidP="003E5A64">
            <w:pPr>
              <w:tabs>
                <w:tab w:val="left" w:pos="6330"/>
              </w:tabs>
              <w:jc w:val="both"/>
              <w:rPr>
                <w:rFonts w:ascii="Times New Roman" w:hAnsi="Times New Roman" w:cs="Times New Roman"/>
                <w:b/>
                <w:lang w:val="en-US"/>
              </w:rPr>
            </w:pPr>
            <w:proofErr w:type="spellStart"/>
            <w:r w:rsidRPr="001E357C">
              <w:rPr>
                <w:rFonts w:ascii="Times New Roman" w:hAnsi="Times New Roman" w:cs="Times New Roman"/>
                <w:b/>
                <w:lang w:val="en-US"/>
              </w:rPr>
              <w:t>Percentil</w:t>
            </w:r>
            <w:proofErr w:type="spellEnd"/>
          </w:p>
          <w:p w14:paraId="664B58FA" w14:textId="77777777" w:rsidR="00AF5455" w:rsidRPr="001E357C" w:rsidRDefault="00AF5455" w:rsidP="003E5A64">
            <w:pPr>
              <w:tabs>
                <w:tab w:val="left" w:pos="6330"/>
              </w:tabs>
              <w:jc w:val="both"/>
              <w:rPr>
                <w:rFonts w:ascii="Times New Roman" w:hAnsi="Times New Roman" w:cs="Times New Roman"/>
                <w:b/>
                <w:lang w:val="en-US"/>
              </w:rPr>
            </w:pPr>
            <w:r w:rsidRPr="001E357C">
              <w:rPr>
                <w:rFonts w:ascii="Times New Roman" w:hAnsi="Times New Roman" w:cs="Times New Roman"/>
                <w:b/>
                <w:lang w:val="en-US"/>
              </w:rPr>
              <w:t>25</w:t>
            </w:r>
          </w:p>
        </w:tc>
        <w:tc>
          <w:tcPr>
            <w:tcW w:w="1270" w:type="dxa"/>
            <w:tcBorders>
              <w:top w:val="single" w:sz="4" w:space="0" w:color="auto"/>
              <w:left w:val="nil"/>
              <w:bottom w:val="single" w:sz="4" w:space="0" w:color="auto"/>
              <w:right w:val="nil"/>
            </w:tcBorders>
            <w:hideMark/>
          </w:tcPr>
          <w:p w14:paraId="73A15D90" w14:textId="77777777" w:rsidR="00AF5455" w:rsidRPr="001E357C" w:rsidRDefault="00AF5455" w:rsidP="003E5A64">
            <w:pPr>
              <w:tabs>
                <w:tab w:val="left" w:pos="6330"/>
              </w:tabs>
              <w:jc w:val="both"/>
              <w:rPr>
                <w:rFonts w:ascii="Times New Roman" w:hAnsi="Times New Roman" w:cs="Times New Roman"/>
                <w:b/>
                <w:lang w:val="en-US"/>
              </w:rPr>
            </w:pPr>
            <w:proofErr w:type="spellStart"/>
            <w:r w:rsidRPr="001E357C">
              <w:rPr>
                <w:rFonts w:ascii="Times New Roman" w:hAnsi="Times New Roman" w:cs="Times New Roman"/>
                <w:b/>
                <w:lang w:val="en-US"/>
              </w:rPr>
              <w:t>Percentil</w:t>
            </w:r>
            <w:proofErr w:type="spellEnd"/>
          </w:p>
          <w:p w14:paraId="108F48FD" w14:textId="77777777" w:rsidR="00AF5455" w:rsidRPr="001E357C" w:rsidRDefault="00AF5455" w:rsidP="003E5A64">
            <w:pPr>
              <w:tabs>
                <w:tab w:val="left" w:pos="6330"/>
              </w:tabs>
              <w:jc w:val="both"/>
              <w:rPr>
                <w:rFonts w:ascii="Times New Roman" w:hAnsi="Times New Roman" w:cs="Times New Roman"/>
                <w:b/>
                <w:lang w:val="en-US"/>
              </w:rPr>
            </w:pPr>
            <w:r w:rsidRPr="001E357C">
              <w:rPr>
                <w:rFonts w:ascii="Times New Roman" w:hAnsi="Times New Roman" w:cs="Times New Roman"/>
                <w:b/>
                <w:lang w:val="en-US"/>
              </w:rPr>
              <w:t>50</w:t>
            </w:r>
          </w:p>
        </w:tc>
        <w:tc>
          <w:tcPr>
            <w:tcW w:w="1270" w:type="dxa"/>
            <w:tcBorders>
              <w:top w:val="single" w:sz="4" w:space="0" w:color="auto"/>
              <w:left w:val="nil"/>
              <w:bottom w:val="single" w:sz="4" w:space="0" w:color="auto"/>
              <w:right w:val="nil"/>
            </w:tcBorders>
            <w:hideMark/>
          </w:tcPr>
          <w:p w14:paraId="63EFC622" w14:textId="77777777" w:rsidR="00AF5455" w:rsidRPr="001E357C" w:rsidRDefault="00AF5455" w:rsidP="003E5A64">
            <w:pPr>
              <w:tabs>
                <w:tab w:val="left" w:pos="6330"/>
              </w:tabs>
              <w:jc w:val="both"/>
              <w:rPr>
                <w:rFonts w:ascii="Times New Roman" w:hAnsi="Times New Roman" w:cs="Times New Roman"/>
                <w:b/>
                <w:lang w:val="en-US"/>
              </w:rPr>
            </w:pPr>
            <w:proofErr w:type="spellStart"/>
            <w:r w:rsidRPr="001E357C">
              <w:rPr>
                <w:rFonts w:ascii="Times New Roman" w:hAnsi="Times New Roman" w:cs="Times New Roman"/>
                <w:b/>
                <w:lang w:val="en-US"/>
              </w:rPr>
              <w:t>Percentil</w:t>
            </w:r>
            <w:proofErr w:type="spellEnd"/>
          </w:p>
          <w:p w14:paraId="0090F759" w14:textId="77777777" w:rsidR="00AF5455" w:rsidRPr="001E357C" w:rsidRDefault="00AF5455" w:rsidP="003E5A64">
            <w:pPr>
              <w:tabs>
                <w:tab w:val="left" w:pos="6330"/>
              </w:tabs>
              <w:jc w:val="both"/>
              <w:rPr>
                <w:rFonts w:ascii="Times New Roman" w:hAnsi="Times New Roman" w:cs="Times New Roman"/>
                <w:b/>
                <w:lang w:val="en-US"/>
              </w:rPr>
            </w:pPr>
            <w:r w:rsidRPr="001E357C">
              <w:rPr>
                <w:rFonts w:ascii="Times New Roman" w:hAnsi="Times New Roman" w:cs="Times New Roman"/>
                <w:b/>
                <w:lang w:val="en-US"/>
              </w:rPr>
              <w:t>75</w:t>
            </w:r>
          </w:p>
        </w:tc>
      </w:tr>
      <w:tr w:rsidR="001E357C" w:rsidRPr="001E357C" w14:paraId="5CAC2BF1" w14:textId="77777777" w:rsidTr="00AF5455">
        <w:tc>
          <w:tcPr>
            <w:tcW w:w="1712" w:type="dxa"/>
            <w:tcBorders>
              <w:top w:val="single" w:sz="4" w:space="0" w:color="auto"/>
              <w:left w:val="nil"/>
              <w:bottom w:val="nil"/>
              <w:right w:val="nil"/>
            </w:tcBorders>
            <w:hideMark/>
          </w:tcPr>
          <w:p w14:paraId="11A59091" w14:textId="77777777" w:rsidR="00AF5455" w:rsidRPr="001E357C" w:rsidRDefault="00AF5455" w:rsidP="003E5A64">
            <w:pPr>
              <w:tabs>
                <w:tab w:val="left" w:pos="6330"/>
              </w:tabs>
              <w:jc w:val="both"/>
              <w:rPr>
                <w:rFonts w:ascii="Times New Roman" w:hAnsi="Times New Roman" w:cs="Times New Roman"/>
                <w:lang w:val="en-US"/>
              </w:rPr>
            </w:pPr>
            <w:proofErr w:type="spellStart"/>
            <w:r w:rsidRPr="001E357C">
              <w:rPr>
                <w:rFonts w:ascii="Times New Roman" w:hAnsi="Times New Roman" w:cs="Times New Roman"/>
                <w:lang w:val="en-US"/>
              </w:rPr>
              <w:t>Evaluación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crítica</w:t>
            </w:r>
            <w:proofErr w:type="spellEnd"/>
            <w:r w:rsidRPr="001E357C">
              <w:rPr>
                <w:rFonts w:ascii="Times New Roman" w:hAnsi="Times New Roman" w:cs="Times New Roman"/>
                <w:lang w:val="en-US"/>
              </w:rPr>
              <w:t xml:space="preserve"> de la </w:t>
            </w:r>
            <w:proofErr w:type="spellStart"/>
            <w:r w:rsidRPr="001E357C">
              <w:rPr>
                <w:rFonts w:ascii="Times New Roman" w:hAnsi="Times New Roman" w:cs="Times New Roman"/>
                <w:lang w:val="en-US"/>
              </w:rPr>
              <w:t>información</w:t>
            </w:r>
            <w:proofErr w:type="spellEnd"/>
          </w:p>
        </w:tc>
        <w:tc>
          <w:tcPr>
            <w:tcW w:w="1061" w:type="dxa"/>
            <w:tcBorders>
              <w:top w:val="single" w:sz="4" w:space="0" w:color="auto"/>
              <w:left w:val="nil"/>
              <w:bottom w:val="nil"/>
              <w:right w:val="nil"/>
            </w:tcBorders>
            <w:hideMark/>
          </w:tcPr>
          <w:p w14:paraId="17A7BEAE"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5</w:t>
            </w:r>
          </w:p>
        </w:tc>
        <w:tc>
          <w:tcPr>
            <w:tcW w:w="776" w:type="dxa"/>
            <w:tcBorders>
              <w:top w:val="single" w:sz="4" w:space="0" w:color="auto"/>
              <w:left w:val="nil"/>
              <w:bottom w:val="nil"/>
              <w:right w:val="nil"/>
            </w:tcBorders>
            <w:hideMark/>
          </w:tcPr>
          <w:p w14:paraId="194ACEF0"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4.208</w:t>
            </w:r>
          </w:p>
        </w:tc>
        <w:tc>
          <w:tcPr>
            <w:tcW w:w="755" w:type="dxa"/>
            <w:tcBorders>
              <w:top w:val="single" w:sz="4" w:space="0" w:color="auto"/>
              <w:left w:val="nil"/>
              <w:bottom w:val="nil"/>
              <w:right w:val="nil"/>
            </w:tcBorders>
            <w:hideMark/>
          </w:tcPr>
          <w:p w14:paraId="65F189BA"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0.876</w:t>
            </w:r>
          </w:p>
        </w:tc>
        <w:tc>
          <w:tcPr>
            <w:tcW w:w="755" w:type="dxa"/>
            <w:tcBorders>
              <w:top w:val="single" w:sz="4" w:space="0" w:color="auto"/>
              <w:left w:val="nil"/>
              <w:bottom w:val="nil"/>
              <w:right w:val="nil"/>
            </w:tcBorders>
            <w:hideMark/>
          </w:tcPr>
          <w:p w14:paraId="7E3D9BC7"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3.873</w:t>
            </w:r>
          </w:p>
        </w:tc>
        <w:tc>
          <w:tcPr>
            <w:tcW w:w="611" w:type="dxa"/>
            <w:tcBorders>
              <w:top w:val="single" w:sz="4" w:space="0" w:color="auto"/>
              <w:left w:val="nil"/>
              <w:bottom w:val="nil"/>
              <w:right w:val="nil"/>
            </w:tcBorders>
            <w:hideMark/>
          </w:tcPr>
          <w:p w14:paraId="1C8E2120"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4.352</w:t>
            </w:r>
          </w:p>
        </w:tc>
        <w:tc>
          <w:tcPr>
            <w:tcW w:w="1194" w:type="dxa"/>
            <w:tcBorders>
              <w:top w:val="single" w:sz="4" w:space="0" w:color="auto"/>
              <w:left w:val="nil"/>
              <w:bottom w:val="nil"/>
              <w:right w:val="nil"/>
            </w:tcBorders>
            <w:hideMark/>
          </w:tcPr>
          <w:p w14:paraId="1399779C"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4.225</w:t>
            </w:r>
          </w:p>
        </w:tc>
        <w:tc>
          <w:tcPr>
            <w:tcW w:w="1270" w:type="dxa"/>
            <w:tcBorders>
              <w:top w:val="single" w:sz="4" w:space="0" w:color="auto"/>
              <w:left w:val="nil"/>
              <w:bottom w:val="nil"/>
              <w:right w:val="nil"/>
            </w:tcBorders>
            <w:hideMark/>
          </w:tcPr>
          <w:p w14:paraId="018E4AE1"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4.268</w:t>
            </w:r>
          </w:p>
        </w:tc>
        <w:tc>
          <w:tcPr>
            <w:tcW w:w="1270" w:type="dxa"/>
            <w:tcBorders>
              <w:top w:val="single" w:sz="4" w:space="0" w:color="auto"/>
              <w:left w:val="nil"/>
              <w:bottom w:val="nil"/>
              <w:right w:val="nil"/>
            </w:tcBorders>
            <w:hideMark/>
          </w:tcPr>
          <w:p w14:paraId="4ADB5DD9"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4.324</w:t>
            </w:r>
          </w:p>
        </w:tc>
      </w:tr>
      <w:tr w:rsidR="001E357C" w:rsidRPr="001E357C" w14:paraId="5060AE40" w14:textId="77777777" w:rsidTr="00AF5455">
        <w:tc>
          <w:tcPr>
            <w:tcW w:w="1712" w:type="dxa"/>
            <w:hideMark/>
          </w:tcPr>
          <w:p w14:paraId="541EA73F" w14:textId="77777777" w:rsidR="00AF5455" w:rsidRPr="001E357C" w:rsidRDefault="00AF5455" w:rsidP="003E5A64">
            <w:pPr>
              <w:tabs>
                <w:tab w:val="left" w:pos="6330"/>
              </w:tabs>
              <w:jc w:val="both"/>
              <w:rPr>
                <w:rFonts w:ascii="Times New Roman" w:hAnsi="Times New Roman" w:cs="Times New Roman"/>
                <w:lang w:val="en-US"/>
              </w:rPr>
            </w:pPr>
            <w:proofErr w:type="spellStart"/>
            <w:r w:rsidRPr="001E357C">
              <w:rPr>
                <w:rFonts w:ascii="Times New Roman" w:hAnsi="Times New Roman" w:cs="Times New Roman"/>
                <w:lang w:val="en-US"/>
              </w:rPr>
              <w:t>Flexibilidad</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cognitiva</w:t>
            </w:r>
            <w:proofErr w:type="spellEnd"/>
          </w:p>
        </w:tc>
        <w:tc>
          <w:tcPr>
            <w:tcW w:w="1061" w:type="dxa"/>
            <w:hideMark/>
          </w:tcPr>
          <w:p w14:paraId="37030EE7"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w:t>
            </w:r>
          </w:p>
        </w:tc>
        <w:tc>
          <w:tcPr>
            <w:tcW w:w="776" w:type="dxa"/>
            <w:hideMark/>
          </w:tcPr>
          <w:p w14:paraId="0B5F86CB"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3.947</w:t>
            </w:r>
          </w:p>
        </w:tc>
        <w:tc>
          <w:tcPr>
            <w:tcW w:w="755" w:type="dxa"/>
            <w:hideMark/>
          </w:tcPr>
          <w:p w14:paraId="6AC2C92C"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0.936</w:t>
            </w:r>
          </w:p>
        </w:tc>
        <w:tc>
          <w:tcPr>
            <w:tcW w:w="755" w:type="dxa"/>
            <w:hideMark/>
          </w:tcPr>
          <w:p w14:paraId="4DAC9C5D"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3.704</w:t>
            </w:r>
          </w:p>
        </w:tc>
        <w:tc>
          <w:tcPr>
            <w:tcW w:w="611" w:type="dxa"/>
            <w:hideMark/>
          </w:tcPr>
          <w:p w14:paraId="71F76D87"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4.07</w:t>
            </w:r>
          </w:p>
        </w:tc>
        <w:tc>
          <w:tcPr>
            <w:tcW w:w="1194" w:type="dxa"/>
            <w:hideMark/>
          </w:tcPr>
          <w:p w14:paraId="3C31DAC4"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3.926</w:t>
            </w:r>
          </w:p>
        </w:tc>
        <w:tc>
          <w:tcPr>
            <w:tcW w:w="1270" w:type="dxa"/>
            <w:hideMark/>
          </w:tcPr>
          <w:p w14:paraId="5FA25B75"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4.007</w:t>
            </w:r>
          </w:p>
        </w:tc>
        <w:tc>
          <w:tcPr>
            <w:tcW w:w="1270" w:type="dxa"/>
            <w:hideMark/>
          </w:tcPr>
          <w:p w14:paraId="729B7191"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4.028</w:t>
            </w:r>
          </w:p>
        </w:tc>
      </w:tr>
      <w:tr w:rsidR="001E357C" w:rsidRPr="001E357C" w14:paraId="7BF07D3C" w14:textId="77777777" w:rsidTr="00AF5455">
        <w:tc>
          <w:tcPr>
            <w:tcW w:w="1712" w:type="dxa"/>
            <w:hideMark/>
          </w:tcPr>
          <w:p w14:paraId="2809C0B7"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 xml:space="preserve">Pensamiento </w:t>
            </w:r>
            <w:proofErr w:type="spellStart"/>
            <w:r w:rsidRPr="001E357C">
              <w:rPr>
                <w:rFonts w:ascii="Times New Roman" w:hAnsi="Times New Roman" w:cs="Times New Roman"/>
                <w:lang w:val="en-US"/>
              </w:rPr>
              <w:t>reflexivo</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contextualizado</w:t>
            </w:r>
            <w:proofErr w:type="spellEnd"/>
          </w:p>
        </w:tc>
        <w:tc>
          <w:tcPr>
            <w:tcW w:w="1061" w:type="dxa"/>
            <w:hideMark/>
          </w:tcPr>
          <w:p w14:paraId="193302CD"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6</w:t>
            </w:r>
          </w:p>
        </w:tc>
        <w:tc>
          <w:tcPr>
            <w:tcW w:w="776" w:type="dxa"/>
            <w:hideMark/>
          </w:tcPr>
          <w:p w14:paraId="54FF2F8A"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4.324</w:t>
            </w:r>
          </w:p>
        </w:tc>
        <w:tc>
          <w:tcPr>
            <w:tcW w:w="755" w:type="dxa"/>
            <w:hideMark/>
          </w:tcPr>
          <w:p w14:paraId="5CCF9C65"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0.83</w:t>
            </w:r>
          </w:p>
        </w:tc>
        <w:tc>
          <w:tcPr>
            <w:tcW w:w="755" w:type="dxa"/>
            <w:hideMark/>
          </w:tcPr>
          <w:p w14:paraId="23AFB1AC"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3.93</w:t>
            </w:r>
          </w:p>
        </w:tc>
        <w:tc>
          <w:tcPr>
            <w:tcW w:w="611" w:type="dxa"/>
            <w:hideMark/>
          </w:tcPr>
          <w:p w14:paraId="263FEB4D"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4.493</w:t>
            </w:r>
          </w:p>
        </w:tc>
        <w:tc>
          <w:tcPr>
            <w:tcW w:w="1194" w:type="dxa"/>
            <w:hideMark/>
          </w:tcPr>
          <w:p w14:paraId="7D32BE50"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4.3</w:t>
            </w:r>
          </w:p>
        </w:tc>
        <w:tc>
          <w:tcPr>
            <w:tcW w:w="1270" w:type="dxa"/>
            <w:hideMark/>
          </w:tcPr>
          <w:p w14:paraId="1EBBFEFF"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4.408</w:t>
            </w:r>
          </w:p>
        </w:tc>
        <w:tc>
          <w:tcPr>
            <w:tcW w:w="1270" w:type="dxa"/>
            <w:hideMark/>
          </w:tcPr>
          <w:p w14:paraId="2D3240E6"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4.434</w:t>
            </w:r>
          </w:p>
        </w:tc>
      </w:tr>
      <w:tr w:rsidR="001E357C" w:rsidRPr="001E357C" w14:paraId="7AB22B68" w14:textId="77777777" w:rsidTr="00AF5455">
        <w:tc>
          <w:tcPr>
            <w:tcW w:w="1712" w:type="dxa"/>
            <w:tcBorders>
              <w:top w:val="nil"/>
              <w:left w:val="nil"/>
              <w:bottom w:val="single" w:sz="4" w:space="0" w:color="auto"/>
              <w:right w:val="nil"/>
            </w:tcBorders>
            <w:hideMark/>
          </w:tcPr>
          <w:p w14:paraId="54016427"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 xml:space="preserve">Rigor </w:t>
            </w:r>
            <w:proofErr w:type="spellStart"/>
            <w:r w:rsidRPr="001E357C">
              <w:rPr>
                <w:rFonts w:ascii="Times New Roman" w:hAnsi="Times New Roman" w:cs="Times New Roman"/>
                <w:lang w:val="en-US"/>
              </w:rPr>
              <w:t>en</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el</w:t>
            </w:r>
            <w:proofErr w:type="spellEnd"/>
            <w:r w:rsidRPr="001E357C">
              <w:rPr>
                <w:rFonts w:ascii="Times New Roman" w:hAnsi="Times New Roman" w:cs="Times New Roman"/>
                <w:lang w:val="en-US"/>
              </w:rPr>
              <w:t xml:space="preserve"> </w:t>
            </w:r>
            <w:proofErr w:type="spellStart"/>
            <w:r w:rsidRPr="001E357C">
              <w:rPr>
                <w:rFonts w:ascii="Times New Roman" w:hAnsi="Times New Roman" w:cs="Times New Roman"/>
                <w:lang w:val="en-US"/>
              </w:rPr>
              <w:t>proceso</w:t>
            </w:r>
            <w:proofErr w:type="spellEnd"/>
            <w:r w:rsidRPr="001E357C">
              <w:rPr>
                <w:rFonts w:ascii="Times New Roman" w:hAnsi="Times New Roman" w:cs="Times New Roman"/>
                <w:lang w:val="en-US"/>
              </w:rPr>
              <w:t xml:space="preserve"> de </w:t>
            </w:r>
            <w:proofErr w:type="spellStart"/>
            <w:r w:rsidRPr="001E357C">
              <w:rPr>
                <w:rFonts w:ascii="Times New Roman" w:hAnsi="Times New Roman" w:cs="Times New Roman"/>
                <w:lang w:val="en-US"/>
              </w:rPr>
              <w:t>indagación</w:t>
            </w:r>
            <w:proofErr w:type="spellEnd"/>
          </w:p>
        </w:tc>
        <w:tc>
          <w:tcPr>
            <w:tcW w:w="1061" w:type="dxa"/>
            <w:tcBorders>
              <w:top w:val="nil"/>
              <w:left w:val="nil"/>
              <w:bottom w:val="single" w:sz="4" w:space="0" w:color="auto"/>
              <w:right w:val="nil"/>
            </w:tcBorders>
            <w:hideMark/>
          </w:tcPr>
          <w:p w14:paraId="546C01A9"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5</w:t>
            </w:r>
          </w:p>
        </w:tc>
        <w:tc>
          <w:tcPr>
            <w:tcW w:w="776" w:type="dxa"/>
            <w:tcBorders>
              <w:top w:val="nil"/>
              <w:left w:val="nil"/>
              <w:bottom w:val="single" w:sz="4" w:space="0" w:color="auto"/>
              <w:right w:val="nil"/>
            </w:tcBorders>
            <w:hideMark/>
          </w:tcPr>
          <w:p w14:paraId="4E8893E6"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4.062</w:t>
            </w:r>
          </w:p>
        </w:tc>
        <w:tc>
          <w:tcPr>
            <w:tcW w:w="755" w:type="dxa"/>
            <w:tcBorders>
              <w:top w:val="nil"/>
              <w:left w:val="nil"/>
              <w:bottom w:val="single" w:sz="4" w:space="0" w:color="auto"/>
              <w:right w:val="nil"/>
            </w:tcBorders>
            <w:hideMark/>
          </w:tcPr>
          <w:p w14:paraId="689EC0C9"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1.003</w:t>
            </w:r>
          </w:p>
        </w:tc>
        <w:tc>
          <w:tcPr>
            <w:tcW w:w="755" w:type="dxa"/>
            <w:tcBorders>
              <w:top w:val="nil"/>
              <w:left w:val="nil"/>
              <w:bottom w:val="single" w:sz="4" w:space="0" w:color="auto"/>
              <w:right w:val="nil"/>
            </w:tcBorders>
            <w:hideMark/>
          </w:tcPr>
          <w:p w14:paraId="2D56BDE1"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3.761</w:t>
            </w:r>
          </w:p>
        </w:tc>
        <w:tc>
          <w:tcPr>
            <w:tcW w:w="611" w:type="dxa"/>
            <w:tcBorders>
              <w:top w:val="nil"/>
              <w:left w:val="nil"/>
              <w:bottom w:val="single" w:sz="4" w:space="0" w:color="auto"/>
              <w:right w:val="nil"/>
            </w:tcBorders>
            <w:hideMark/>
          </w:tcPr>
          <w:p w14:paraId="73BF38ED"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4.31</w:t>
            </w:r>
          </w:p>
        </w:tc>
        <w:tc>
          <w:tcPr>
            <w:tcW w:w="1194" w:type="dxa"/>
            <w:tcBorders>
              <w:top w:val="nil"/>
              <w:left w:val="nil"/>
              <w:bottom w:val="single" w:sz="4" w:space="0" w:color="auto"/>
              <w:right w:val="nil"/>
            </w:tcBorders>
            <w:hideMark/>
          </w:tcPr>
          <w:p w14:paraId="09F7D449"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3.972</w:t>
            </w:r>
          </w:p>
        </w:tc>
        <w:tc>
          <w:tcPr>
            <w:tcW w:w="1270" w:type="dxa"/>
            <w:tcBorders>
              <w:top w:val="nil"/>
              <w:left w:val="nil"/>
              <w:bottom w:val="single" w:sz="4" w:space="0" w:color="auto"/>
              <w:right w:val="nil"/>
            </w:tcBorders>
            <w:hideMark/>
          </w:tcPr>
          <w:p w14:paraId="0397B57D"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4.113</w:t>
            </w:r>
          </w:p>
        </w:tc>
        <w:tc>
          <w:tcPr>
            <w:tcW w:w="1270" w:type="dxa"/>
            <w:tcBorders>
              <w:top w:val="nil"/>
              <w:left w:val="nil"/>
              <w:bottom w:val="single" w:sz="4" w:space="0" w:color="auto"/>
              <w:right w:val="nil"/>
            </w:tcBorders>
            <w:hideMark/>
          </w:tcPr>
          <w:p w14:paraId="6E1A1C07" w14:textId="77777777" w:rsidR="00AF5455" w:rsidRPr="001E357C" w:rsidRDefault="00AF5455" w:rsidP="003E5A64">
            <w:pPr>
              <w:tabs>
                <w:tab w:val="left" w:pos="6330"/>
              </w:tabs>
              <w:jc w:val="both"/>
              <w:rPr>
                <w:rFonts w:ascii="Times New Roman" w:hAnsi="Times New Roman" w:cs="Times New Roman"/>
                <w:lang w:val="en-US"/>
              </w:rPr>
            </w:pPr>
            <w:r w:rsidRPr="001E357C">
              <w:rPr>
                <w:rFonts w:ascii="Times New Roman" w:hAnsi="Times New Roman" w:cs="Times New Roman"/>
                <w:lang w:val="en-US"/>
              </w:rPr>
              <w:t>4.155</w:t>
            </w:r>
          </w:p>
        </w:tc>
      </w:tr>
    </w:tbl>
    <w:p w14:paraId="20382028"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b/>
        </w:rPr>
        <w:t>Nota.</w:t>
      </w:r>
      <w:r w:rsidRPr="001E357C">
        <w:rPr>
          <w:rFonts w:ascii="Times New Roman" w:hAnsi="Times New Roman" w:cs="Times New Roman"/>
        </w:rPr>
        <w:t xml:space="preserve"> Los valores corresponden a los promedios agregados por dimensión, calculados con base en las respuestas de 176 estudiantes de licenciatura. Estos datos se presentan con fines interpretativos preliminares y deberán complementarse con estudios normativos posteriores en muestras ampliadas y diversificadas.</w:t>
      </w:r>
    </w:p>
    <w:p w14:paraId="39D46D81"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24365D40" w14:textId="77777777" w:rsidR="00AF5455" w:rsidRDefault="00AF5455" w:rsidP="003E5A64">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lastRenderedPageBreak/>
        <w:t>Discusión</w:t>
      </w:r>
    </w:p>
    <w:p w14:paraId="4C119483" w14:textId="77777777" w:rsidR="003E5A64" w:rsidRPr="001E357C" w:rsidRDefault="003E5A64" w:rsidP="003E5A64">
      <w:pPr>
        <w:tabs>
          <w:tab w:val="left" w:pos="6330"/>
        </w:tabs>
        <w:spacing w:after="0" w:line="240" w:lineRule="auto"/>
        <w:jc w:val="both"/>
        <w:rPr>
          <w:rFonts w:ascii="Times New Roman" w:hAnsi="Times New Roman" w:cs="Times New Roman"/>
          <w:b/>
          <w:bCs/>
        </w:rPr>
      </w:pPr>
    </w:p>
    <w:p w14:paraId="54A41500" w14:textId="73373F89"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Los resultados obtenidos respaldan la validez estructural y la consistencia interna del instrumento diseñado para evaluar disposiciones al pensamiento crítico en el uso académico de IAG. La reorganización de diez disposiciones del modelo de Ennis (1996) en cuatro factores emergentes evidencia una adaptación teórica coherente con los patrones de respuesta observados, sin perder la esencia conceptual del marco original (Facione, 2011; Muñiz &amp; Fonseca-Pedrero, 2019).</w:t>
      </w:r>
    </w:p>
    <w:p w14:paraId="0C3E0DEE"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35C6760B"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El agrupamiento de disposiciones como la búsqueda de claridad, la búsqueda de razones y la persistencia sugiere que los estudiantes tienden a activar estilos cognitivos integrados en entornos mediados por IAG, lo cual coincide con hallazgos recientes que subrayan la importancia de comprender el pensamiento crítico como una práctica situada y contextual (Ríos-Hernández &amp; Mateu-Martín, 2024; </w:t>
      </w:r>
      <w:proofErr w:type="spellStart"/>
      <w:r w:rsidRPr="001E357C">
        <w:rPr>
          <w:rFonts w:ascii="Times New Roman" w:hAnsi="Times New Roman" w:cs="Times New Roman"/>
        </w:rPr>
        <w:t>Gallent</w:t>
      </w:r>
      <w:proofErr w:type="spellEnd"/>
      <w:r w:rsidRPr="001E357C">
        <w:rPr>
          <w:rFonts w:ascii="Times New Roman" w:hAnsi="Times New Roman" w:cs="Times New Roman"/>
        </w:rPr>
        <w:t xml:space="preserve">-Torres et al., 2023). En particular, la dimensión de </w:t>
      </w:r>
      <w:r w:rsidRPr="003E5A64">
        <w:rPr>
          <w:rFonts w:ascii="Times New Roman" w:hAnsi="Times New Roman" w:cs="Times New Roman"/>
        </w:rPr>
        <w:t>evaluación crítica de la información adquiere relevancia en contextos donde los estudiantes podrían aceptar sin cuestionamiento las respuestas automatizadas, lo que plantea la necesidad de reforzar sus criterios de valoración epistémica (</w:t>
      </w:r>
      <w:proofErr w:type="spellStart"/>
      <w:r w:rsidRPr="003E5A64">
        <w:rPr>
          <w:rFonts w:ascii="Times New Roman" w:hAnsi="Times New Roman" w:cs="Times New Roman"/>
        </w:rPr>
        <w:t>Floridi</w:t>
      </w:r>
      <w:proofErr w:type="spellEnd"/>
      <w:r w:rsidRPr="003E5A64">
        <w:rPr>
          <w:rFonts w:ascii="Times New Roman" w:hAnsi="Times New Roman" w:cs="Times New Roman"/>
        </w:rPr>
        <w:t>, 2013; Clemente Alcocer et al., 2024).</w:t>
      </w:r>
    </w:p>
    <w:p w14:paraId="49718065"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19AB640F" w14:textId="4E8D89EC"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Asimismo, los factores asociados con la flexibilidad cognitiva y el pensamiento reflexivo contextualizado muestran que el juicio crítico frente a la IAG no solo exige precisión lógica, sino también apertura al cambio, lectura contextualizada de la información y disposición a reconsiderar posturas frente a nuevos argumentos (Paul &amp; Elder, 2008; García-Peñalvo, 2023). Esta perspectiva multidimensional se alinea con concepciones contemporáneas del pensamiento crítico que lo entienden como una actitud activa y situada, no reducida al dominio de habilidades formales.</w:t>
      </w:r>
    </w:p>
    <w:p w14:paraId="0F1DD86E"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5F2A41AE"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Desde esta perspectiva, la escala propuesta constituye un aporte significativo al enfocarse no en competencias técnicas de uso de la IA, sino en las disposiciones profundas que sostienen el pensamiento crítico frente a tecnologías emergentes (Ríos-Hernández &amp; Mateu-Martín, 2024; </w:t>
      </w:r>
      <w:proofErr w:type="spellStart"/>
      <w:r w:rsidRPr="003E5A64">
        <w:rPr>
          <w:rFonts w:ascii="Times New Roman" w:hAnsi="Times New Roman" w:cs="Times New Roman"/>
        </w:rPr>
        <w:t>Gouia-Zarrad</w:t>
      </w:r>
      <w:proofErr w:type="spellEnd"/>
      <w:r w:rsidRPr="003E5A64">
        <w:rPr>
          <w:rFonts w:ascii="Times New Roman" w:hAnsi="Times New Roman" w:cs="Times New Roman"/>
        </w:rPr>
        <w:t xml:space="preserve"> &amp; Gunn, 2024). En esta línea, estudios como el de Nguyen y Kim (2024) han demostrado que las herramientas de escritura asistida por IAG pueden fomentar procesos críticos significativos, siempre que se integren en marcos pedagógicos que promuevan la reflexión activa.</w:t>
      </w:r>
    </w:p>
    <w:p w14:paraId="58D78283"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73268CD2" w14:textId="75F2DD20"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Además, investigaciones como las de </w:t>
      </w:r>
      <w:proofErr w:type="spellStart"/>
      <w:r w:rsidRPr="003E5A64">
        <w:rPr>
          <w:rFonts w:ascii="Times New Roman" w:hAnsi="Times New Roman" w:cs="Times New Roman"/>
        </w:rPr>
        <w:t>Luckin</w:t>
      </w:r>
      <w:proofErr w:type="spellEnd"/>
      <w:r w:rsidRPr="003E5A64">
        <w:rPr>
          <w:rFonts w:ascii="Times New Roman" w:hAnsi="Times New Roman" w:cs="Times New Roman"/>
        </w:rPr>
        <w:t xml:space="preserve"> et al. (2016) advierten que la IAG solo potencia el aprendizaje humano cuando está mediada por una intencionalidad pedagógica clara, centrada en el desarrollo de habilidades complejas. Sin dicha mediación, el uso de estas tecnologías corre el riesgo de reproducir prácticas pasivas o descontextualizadas. Del mismo modo, </w:t>
      </w:r>
      <w:proofErr w:type="spellStart"/>
      <w:r w:rsidRPr="003E5A64">
        <w:rPr>
          <w:rFonts w:ascii="Times New Roman" w:hAnsi="Times New Roman" w:cs="Times New Roman"/>
        </w:rPr>
        <w:t>Zawacki</w:t>
      </w:r>
      <w:proofErr w:type="spellEnd"/>
      <w:r w:rsidRPr="003E5A64">
        <w:rPr>
          <w:rFonts w:ascii="Times New Roman" w:hAnsi="Times New Roman" w:cs="Times New Roman"/>
        </w:rPr>
        <w:t>-Richter et al. (2019) han señalado que la mayoría de los estudios sobre IA en educación se han centrado en dimensiones técnicas, dejando de lado las implicaciones pedagógicas y la participación activa del profesorado.</w:t>
      </w:r>
    </w:p>
    <w:p w14:paraId="25F2E540"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28F5419C" w14:textId="61A36F11"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En este sentido, el instrumento propuesto no solo tiene valor diagnóstico, sino que también proporciona una base empírica para el diseño de intervenciones educativas con enfoque crítico, orientadas al fortalecimiento de la autonomía intelectual y el juicio reflexivo en entornos mediados por IAG. </w:t>
      </w:r>
    </w:p>
    <w:p w14:paraId="3E8AF7A2"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06BA8BD9" w14:textId="77777777" w:rsid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Más allá de su validación inicial, esta herramienta permite articular la evaluación de disposiciones críticas con procesos formativos situados, brindando información clave para diseñar experiencias de aprendizaje que favorezcan la reflexión epistémica, la autorregulación cognitiva y la toma de decisiones informadas en el uso académico de IA.</w:t>
      </w:r>
    </w:p>
    <w:p w14:paraId="63E2D81C" w14:textId="3D93CA57" w:rsidR="00AF5455"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lastRenderedPageBreak/>
        <w:t>Esta proyección resulta especialmente relevante en un contexto donde el despliegue de tecnologías generativas exige que el pensamiento crítico se consolide como una competencia transversal, que no solo resista la automatización, sino que promueva el discernimiento ético y la apropiación responsable del conocimiento.</w:t>
      </w:r>
    </w:p>
    <w:p w14:paraId="2F9B97A9"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10898D3B"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Así, esta investigación contribuye a posicionar el pensamiento crítico como eje articulador de una educación superior orientada al juicio reflexivo, la alfabetización tecnológica crítica y el desarrollo de ciudadanías cognitivamente activas en la era de la inteligencia artificial.</w:t>
      </w:r>
    </w:p>
    <w:p w14:paraId="77E676AC"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07FBC8DC"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Limitaciones y recomendaciones metodológicas</w:t>
      </w:r>
    </w:p>
    <w:p w14:paraId="0D2D6034"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61554AC7"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Si bien los hallazgos obtenidos permiten confirmar la validez estructural y la consistencia interna del instrumento, es necesario reconocer una serie de limitaciones metodológicas que deben ser consideradas al interpretar los resultados y que orientan las futuras fases del proyecto.</w:t>
      </w:r>
    </w:p>
    <w:p w14:paraId="14D1E758"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2022B09A"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Una primera limitación se relaciona con la naturaleza no probabilística de la muestra, compuesta exclusivamente por estudiantes del área de Ciencias Sociales y Humanidades. Aunque esta decisión respondió a criterios logísticos y de disponibilidad institucional, restringe la validez externa del instrumento, al no permitir la generalización a otros campos disciplinares donde las disposiciones críticas podrían manifestarse de manera distinta. Se recomienda, por tanto, ampliar la aplicación del instrumento a disciplinas STEM, salud e ingenierías, con el fin de explorar diferencias entre campos y avanzar hacia un modelo de invarianza factorial multigrupo.</w:t>
      </w:r>
    </w:p>
    <w:p w14:paraId="16013B02"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6DDDC488"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Aunque el AFE arrojó resultados sólidos, con índices estadísticos adecuados y estructura coherente con el modelo teórico, no se incluyó en esta fase un análisis factorial confirmatorio (AFC). Dado que el presente estudio se centró en la validación exploratoria inicial, el AFC se contempla como un paso siguiente en una nueva fase, con una muestra independiente, para evaluar la estabilidad de la estructura mediante índices de ajuste más rigurosos.</w:t>
      </w:r>
    </w:p>
    <w:p w14:paraId="7AE258F4"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6FC98546"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 xml:space="preserve">Otra limitación importante es la falta de evidencias de validez convergente y discriminante, ya que no se aplicaron instrumentos adicionales con los cuales establecer correlaciones. Esta omisión se debió a la escasez de escalas validadas en español que evalúen disposiciones críticas específicamente en contextos de uso académico de IAG. En futuras fases, se planea emplear escalas estandarizadas como el California </w:t>
      </w:r>
      <w:proofErr w:type="spellStart"/>
      <w:r w:rsidRPr="003E5A64">
        <w:rPr>
          <w:rFonts w:ascii="Times New Roman" w:hAnsi="Times New Roman" w:cs="Times New Roman"/>
        </w:rPr>
        <w:t>Critical</w:t>
      </w:r>
      <w:proofErr w:type="spellEnd"/>
      <w:r w:rsidRPr="003E5A64">
        <w:rPr>
          <w:rFonts w:ascii="Times New Roman" w:hAnsi="Times New Roman" w:cs="Times New Roman"/>
        </w:rPr>
        <w:t xml:space="preserve"> </w:t>
      </w:r>
      <w:proofErr w:type="spellStart"/>
      <w:r w:rsidRPr="003E5A64">
        <w:rPr>
          <w:rFonts w:ascii="Times New Roman" w:hAnsi="Times New Roman" w:cs="Times New Roman"/>
        </w:rPr>
        <w:t>Thinking</w:t>
      </w:r>
      <w:proofErr w:type="spellEnd"/>
      <w:r w:rsidRPr="003E5A64">
        <w:rPr>
          <w:rFonts w:ascii="Times New Roman" w:hAnsi="Times New Roman" w:cs="Times New Roman"/>
        </w:rPr>
        <w:t xml:space="preserve"> </w:t>
      </w:r>
      <w:proofErr w:type="spellStart"/>
      <w:r w:rsidRPr="003E5A64">
        <w:rPr>
          <w:rFonts w:ascii="Times New Roman" w:hAnsi="Times New Roman" w:cs="Times New Roman"/>
        </w:rPr>
        <w:t>Disposition</w:t>
      </w:r>
      <w:proofErr w:type="spellEnd"/>
      <w:r w:rsidRPr="003E5A64">
        <w:rPr>
          <w:rFonts w:ascii="Times New Roman" w:hAnsi="Times New Roman" w:cs="Times New Roman"/>
        </w:rPr>
        <w:t xml:space="preserve"> </w:t>
      </w:r>
      <w:proofErr w:type="spellStart"/>
      <w:r w:rsidRPr="003E5A64">
        <w:rPr>
          <w:rFonts w:ascii="Times New Roman" w:hAnsi="Times New Roman" w:cs="Times New Roman"/>
        </w:rPr>
        <w:t>Inventory</w:t>
      </w:r>
      <w:proofErr w:type="spellEnd"/>
      <w:r w:rsidRPr="003E5A64">
        <w:rPr>
          <w:rFonts w:ascii="Times New Roman" w:hAnsi="Times New Roman" w:cs="Times New Roman"/>
        </w:rPr>
        <w:t xml:space="preserve"> (CCTDI) o el Watson-Glaser </w:t>
      </w:r>
      <w:proofErr w:type="spellStart"/>
      <w:r w:rsidRPr="003E5A64">
        <w:rPr>
          <w:rFonts w:ascii="Times New Roman" w:hAnsi="Times New Roman" w:cs="Times New Roman"/>
        </w:rPr>
        <w:t>Critical</w:t>
      </w:r>
      <w:proofErr w:type="spellEnd"/>
      <w:r w:rsidRPr="003E5A64">
        <w:rPr>
          <w:rFonts w:ascii="Times New Roman" w:hAnsi="Times New Roman" w:cs="Times New Roman"/>
        </w:rPr>
        <w:t xml:space="preserve"> </w:t>
      </w:r>
      <w:proofErr w:type="spellStart"/>
      <w:r w:rsidRPr="003E5A64">
        <w:rPr>
          <w:rFonts w:ascii="Times New Roman" w:hAnsi="Times New Roman" w:cs="Times New Roman"/>
        </w:rPr>
        <w:t>Thinking</w:t>
      </w:r>
      <w:proofErr w:type="spellEnd"/>
      <w:r w:rsidRPr="003E5A64">
        <w:rPr>
          <w:rFonts w:ascii="Times New Roman" w:hAnsi="Times New Roman" w:cs="Times New Roman"/>
        </w:rPr>
        <w:t xml:space="preserve"> </w:t>
      </w:r>
      <w:proofErr w:type="spellStart"/>
      <w:r w:rsidRPr="003E5A64">
        <w:rPr>
          <w:rFonts w:ascii="Times New Roman" w:hAnsi="Times New Roman" w:cs="Times New Roman"/>
        </w:rPr>
        <w:t>Appraisal</w:t>
      </w:r>
      <w:proofErr w:type="spellEnd"/>
      <w:r w:rsidRPr="003E5A64">
        <w:rPr>
          <w:rFonts w:ascii="Times New Roman" w:hAnsi="Times New Roman" w:cs="Times New Roman"/>
        </w:rPr>
        <w:t>, para robustecer la validez externa y teórica del instrumento.</w:t>
      </w:r>
    </w:p>
    <w:p w14:paraId="0CE6DDD1"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210AAF9D" w14:textId="77777777" w:rsidR="00AF5455" w:rsidRPr="003E5A64"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Tampoco se evaluó la estabilidad temporal mediante un test-</w:t>
      </w:r>
      <w:proofErr w:type="spellStart"/>
      <w:r w:rsidRPr="003E5A64">
        <w:rPr>
          <w:rFonts w:ascii="Times New Roman" w:hAnsi="Times New Roman" w:cs="Times New Roman"/>
        </w:rPr>
        <w:t>retest</w:t>
      </w:r>
      <w:proofErr w:type="spellEnd"/>
      <w:r w:rsidRPr="003E5A64">
        <w:rPr>
          <w:rFonts w:ascii="Times New Roman" w:hAnsi="Times New Roman" w:cs="Times New Roman"/>
        </w:rPr>
        <w:t>. Considerando que las disposiciones al pensamiento crítico pueden verse influenciadas por experiencias académicas o intervenciones formativas, se proyecta implementar esta estrategia de seguimiento con un intervalo de tres a cuatro semanas, a fin de estimar la confiabilidad temporal y observar posibles variaciones vinculadas al contexto formativo.</w:t>
      </w:r>
    </w:p>
    <w:p w14:paraId="2987E8A4" w14:textId="77777777" w:rsidR="003E5A64" w:rsidRPr="003E5A64" w:rsidRDefault="003E5A64" w:rsidP="003E5A64">
      <w:pPr>
        <w:tabs>
          <w:tab w:val="left" w:pos="6330"/>
        </w:tabs>
        <w:spacing w:after="0" w:line="240" w:lineRule="auto"/>
        <w:jc w:val="both"/>
        <w:rPr>
          <w:rFonts w:ascii="Times New Roman" w:hAnsi="Times New Roman" w:cs="Times New Roman"/>
        </w:rPr>
      </w:pPr>
    </w:p>
    <w:p w14:paraId="31FFE424" w14:textId="77777777" w:rsidR="00AF5455" w:rsidRDefault="00AF5455" w:rsidP="003E5A64">
      <w:pPr>
        <w:tabs>
          <w:tab w:val="left" w:pos="6330"/>
        </w:tabs>
        <w:spacing w:after="0" w:line="240" w:lineRule="auto"/>
        <w:jc w:val="both"/>
        <w:rPr>
          <w:rFonts w:ascii="Times New Roman" w:hAnsi="Times New Roman" w:cs="Times New Roman"/>
        </w:rPr>
      </w:pPr>
      <w:r w:rsidRPr="003E5A64">
        <w:rPr>
          <w:rFonts w:ascii="Times New Roman" w:hAnsi="Times New Roman" w:cs="Times New Roman"/>
        </w:rPr>
        <w:t>Por último, se reconoce la ausencia de normas preliminares de interpretación que faciliten su aplicación diagnóstica. Como primer paso hacia su interpretación pedagógica, se han calculado</w:t>
      </w:r>
      <w:r w:rsidRPr="001E357C">
        <w:rPr>
          <w:rFonts w:ascii="Times New Roman" w:hAnsi="Times New Roman" w:cs="Times New Roman"/>
        </w:rPr>
        <w:t xml:space="preserve"> medidas de tendencia central y dispersión por dimensión. No obstante, será necesario contar con una muestra más amplia y diversa para construir </w:t>
      </w:r>
      <w:r w:rsidRPr="00033F0A">
        <w:rPr>
          <w:rFonts w:ascii="Times New Roman" w:hAnsi="Times New Roman" w:cs="Times New Roman"/>
        </w:rPr>
        <w:t>baremos comparativos útiles</w:t>
      </w:r>
      <w:r w:rsidRPr="001E357C">
        <w:rPr>
          <w:rFonts w:ascii="Times New Roman" w:hAnsi="Times New Roman" w:cs="Times New Roman"/>
        </w:rPr>
        <w:t xml:space="preserve"> en contextos educativos diferenciados.</w:t>
      </w:r>
    </w:p>
    <w:p w14:paraId="785655E6" w14:textId="77777777" w:rsidR="003E5A64" w:rsidRPr="001E357C" w:rsidRDefault="003E5A64" w:rsidP="003E5A64">
      <w:pPr>
        <w:tabs>
          <w:tab w:val="left" w:pos="6330"/>
        </w:tabs>
        <w:spacing w:after="0" w:line="240" w:lineRule="auto"/>
        <w:jc w:val="both"/>
        <w:rPr>
          <w:rFonts w:ascii="Times New Roman" w:hAnsi="Times New Roman" w:cs="Times New Roman"/>
        </w:rPr>
      </w:pPr>
    </w:p>
    <w:p w14:paraId="40E00535"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lastRenderedPageBreak/>
        <w:t xml:space="preserve">Finalmente, se realizó un </w:t>
      </w:r>
      <w:r w:rsidRPr="00033F0A">
        <w:rPr>
          <w:rFonts w:ascii="Times New Roman" w:hAnsi="Times New Roman" w:cs="Times New Roman"/>
        </w:rPr>
        <w:t>análisis de poder estadístico post hoc,</w:t>
      </w:r>
      <w:r w:rsidRPr="001E357C">
        <w:rPr>
          <w:rFonts w:ascii="Times New Roman" w:hAnsi="Times New Roman" w:cs="Times New Roman"/>
        </w:rPr>
        <w:t xml:space="preserve"> que confirmó la suficiencia del tamaño muestral utilizado (n = 176) en función del número de ítems y factores emergentes, cumpliendo con los criterios establecidos por la literatura metodológica para análisis factoriales (entre 5 y 10 sujetos por ítem).</w:t>
      </w:r>
    </w:p>
    <w:p w14:paraId="053ECEC7"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6D348AB5"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Estas recomendaciones metodológicas no solo permiten delimitar el alcance de los hallazgos presentados, sino que trazan una ruta clara para el fortalecimiento del instrumento como una herramienta psicométrica confiable, válida y aplicable en escenarios educativos mediados por IAG.</w:t>
      </w:r>
    </w:p>
    <w:p w14:paraId="78028343"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13BA3466" w14:textId="77777777" w:rsidR="00AF5455" w:rsidRPr="00033F0A" w:rsidRDefault="00AF5455" w:rsidP="003E5A64">
      <w:pPr>
        <w:tabs>
          <w:tab w:val="left" w:pos="6330"/>
        </w:tabs>
        <w:spacing w:after="0" w:line="240" w:lineRule="auto"/>
        <w:jc w:val="both"/>
        <w:rPr>
          <w:rFonts w:ascii="Times New Roman" w:hAnsi="Times New Roman" w:cs="Times New Roman"/>
        </w:rPr>
      </w:pPr>
      <w:r w:rsidRPr="00033F0A">
        <w:rPr>
          <w:rFonts w:ascii="Times New Roman" w:hAnsi="Times New Roman" w:cs="Times New Roman"/>
        </w:rPr>
        <w:t>Implicaciones prácticas de uso</w:t>
      </w:r>
    </w:p>
    <w:p w14:paraId="2CE6231D"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6978DD3B" w14:textId="77777777" w:rsidR="00AF5455" w:rsidRPr="001E357C"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La escala validada representa una herramienta útil para el diagnóstico formativo de disposiciones al pensamiento crítico en el contexto del uso académico de IAG. Su aplicación práctica puede extenderse a diversos escenarios educativos: </w:t>
      </w:r>
    </w:p>
    <w:p w14:paraId="5CCC18C4" w14:textId="77777777" w:rsidR="00AF5455" w:rsidRPr="001E357C" w:rsidRDefault="00AF5455" w:rsidP="003E5A64">
      <w:pPr>
        <w:numPr>
          <w:ilvl w:val="0"/>
          <w:numId w:val="1"/>
        </w:num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Como instrumento diagnóstico inicial para estudiantes de nuevo ingreso en programas de licenciatura, con el fin de identificar necesidades formativas en pensamiento crítico</w:t>
      </w:r>
    </w:p>
    <w:p w14:paraId="1CDF0C78" w14:textId="77777777" w:rsidR="00AF5455" w:rsidRPr="001E357C" w:rsidRDefault="00AF5455" w:rsidP="003E5A64">
      <w:pPr>
        <w:numPr>
          <w:ilvl w:val="0"/>
          <w:numId w:val="1"/>
        </w:num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Como insumo para cursos de alfabetización digital crítica, en donde se analice el uso ético y reflexivo de herramientas de IAG</w:t>
      </w:r>
    </w:p>
    <w:p w14:paraId="33EE1556" w14:textId="77777777" w:rsidR="00AF5455" w:rsidRPr="001E357C" w:rsidRDefault="00AF5455" w:rsidP="003E5A64">
      <w:pPr>
        <w:numPr>
          <w:ilvl w:val="0"/>
          <w:numId w:val="1"/>
        </w:num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Como parte de procesos de evaluación formativa en asignaturas centradas en habilidades de pensamiento superior.</w:t>
      </w:r>
    </w:p>
    <w:p w14:paraId="408E993B" w14:textId="77777777" w:rsidR="00033F0A" w:rsidRDefault="00033F0A" w:rsidP="003E5A64">
      <w:pPr>
        <w:tabs>
          <w:tab w:val="left" w:pos="6330"/>
        </w:tabs>
        <w:spacing w:after="0" w:line="240" w:lineRule="auto"/>
        <w:jc w:val="both"/>
        <w:rPr>
          <w:rFonts w:ascii="Times New Roman" w:hAnsi="Times New Roman" w:cs="Times New Roman"/>
        </w:rPr>
      </w:pPr>
    </w:p>
    <w:p w14:paraId="4FB5517E" w14:textId="13DDD705"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Además, esta escala permite orientar el diseño de estrategias pedagógicas diferenciadas, personalizando las intervenciones según los niveles de disposición identificados en cada estudiante. Por ejemplo, puntajes bajos en el factor “evaluación crítica de la información” podrían detonar actividades específicas de análisis de fuentes o talleres de verificación de datos, mientras que niveles medios en “reflexión contextualizada” podrían abordarse con estudios de caso o debates. Asimismo, puede facilitar procesos de retroalimentación individual o grupal y servir como insumo empírico en proyectos institucionales enfocados en el desarrollo de una ciudadanía digital crítica, ética y autónoma frente a los desafíos emergentes de la IA en entornos educativos.</w:t>
      </w:r>
    </w:p>
    <w:p w14:paraId="49ED08CC"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7A043306" w14:textId="77777777" w:rsidR="00AF5455" w:rsidRDefault="00AF5455" w:rsidP="00033F0A">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t>Conclusiones</w:t>
      </w:r>
    </w:p>
    <w:p w14:paraId="44C8C834" w14:textId="77777777" w:rsidR="00033F0A" w:rsidRPr="001E357C" w:rsidRDefault="00033F0A" w:rsidP="003E5A64">
      <w:pPr>
        <w:tabs>
          <w:tab w:val="left" w:pos="6330"/>
        </w:tabs>
        <w:spacing w:after="0" w:line="240" w:lineRule="auto"/>
        <w:jc w:val="both"/>
        <w:rPr>
          <w:rFonts w:ascii="Times New Roman" w:hAnsi="Times New Roman" w:cs="Times New Roman"/>
          <w:b/>
          <w:bCs/>
        </w:rPr>
      </w:pPr>
    </w:p>
    <w:p w14:paraId="0E266EBC" w14:textId="3426419E"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 La validación psicométrica del instrumento desarrollado representa un aporte sustantivo a la medición de disposiciones cognitivas asociadas al pensamiento crítico en contextos educativos mediados por IAG. Mediante un AFE riguroso, se reorganizaron diez disposiciones del modelo de Ennis (1996) en cuatro factores emergentes que demostraron coherencia teórica, solidez estadística y aplicabilidad educativa. Esta reformulación permite una lectura más operativa de las disposiciones críticas, ajustada a los desafíos cognitivos que plantea el uso de herramientas de IAG en la educación superior.</w:t>
      </w:r>
    </w:p>
    <w:p w14:paraId="1C26ADA5"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7372D805"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 xml:space="preserve">A diferencia de escalas centradas exclusivamente en actitudes hacia la tecnología o competencias instrumentales, esta herramienta se enfoca en disposiciones intelectuales profundas que articulan juicio, reflexión y evaluación crítica. Su estructura flexible permite tanto el diagnóstico general como el análisis por dimensiones, lo que habilita su uso en procesos de formación universitaria, programas de inducción, cursos de alfabetización digital crítica y estrategias de retroalimentación personalizada. En este sentido, el instrumento no solo aporta una herramienta de evaluación confiable y válida, sino que </w:t>
      </w:r>
      <w:proofErr w:type="gramStart"/>
      <w:r w:rsidRPr="001E357C">
        <w:rPr>
          <w:rFonts w:ascii="Times New Roman" w:hAnsi="Times New Roman" w:cs="Times New Roman"/>
        </w:rPr>
        <w:t>también habilita intervenciones pedagógicas orientadas</w:t>
      </w:r>
      <w:proofErr w:type="gramEnd"/>
      <w:r w:rsidRPr="001E357C">
        <w:rPr>
          <w:rFonts w:ascii="Times New Roman" w:hAnsi="Times New Roman" w:cs="Times New Roman"/>
        </w:rPr>
        <w:t xml:space="preserve"> al fortalecimiento de la autonomía </w:t>
      </w:r>
      <w:r w:rsidRPr="001E357C">
        <w:rPr>
          <w:rFonts w:ascii="Times New Roman" w:hAnsi="Times New Roman" w:cs="Times New Roman"/>
        </w:rPr>
        <w:lastRenderedPageBreak/>
        <w:t>intelectual y el juicio ético en entornos mediados por IA. En un escenario educativo en transformación, contar con instrumentos como este resulta clave para diseñar prácticas formativas informadas, contextualizadas y socialmente responsables.</w:t>
      </w:r>
    </w:p>
    <w:p w14:paraId="6E917ACD"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17D61AB9" w14:textId="77777777" w:rsidR="00AF5455" w:rsidRDefault="00AF5455" w:rsidP="00033F0A">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t>Futuras líneas de investigación</w:t>
      </w:r>
    </w:p>
    <w:p w14:paraId="3028741F" w14:textId="77777777" w:rsidR="00033F0A" w:rsidRPr="001E357C" w:rsidRDefault="00033F0A" w:rsidP="003E5A64">
      <w:pPr>
        <w:tabs>
          <w:tab w:val="left" w:pos="6330"/>
        </w:tabs>
        <w:spacing w:after="0" w:line="240" w:lineRule="auto"/>
        <w:jc w:val="both"/>
        <w:rPr>
          <w:rFonts w:ascii="Times New Roman" w:hAnsi="Times New Roman" w:cs="Times New Roman"/>
          <w:b/>
          <w:bCs/>
        </w:rPr>
      </w:pPr>
    </w:p>
    <w:p w14:paraId="0BCBFC0F"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Una primera línea de continuidad consiste en desarrollar un instrumento complementario que permita evaluar también las 16 habilidades del pensamiento crítico propuestas por Ennis (1996), con el propósito de integrar la dimensión disposicional con la dimensión cognitiva. Estas habilidades abarcan procesos como inferencia, análisis, evaluación, explicación y autorregulación, fundamentales para operacionalizar el pensamiento crítico desde una perspectiva funcional. Esta integración permitiría una comprensión más holística del pensamiento crítico en escenarios educativos mediados por IAG, fortaleciendo tanto su medición como su intervención pedagógica.</w:t>
      </w:r>
    </w:p>
    <w:p w14:paraId="41CF9813"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2B917E8D"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En segundo lugar, resulta prioritario explorar la validez y confiabilidad del instrumento en contextos educativos diversos, incluyendo disciplinas técnicas (STEM), niveles educativos distintos: media superior o posgrado, así como regiones culturales variadas. Esto permitiría evaluar la invarianza factorial y la aplicabilidad del instrumento más allá del contexto original, contribuyendo a su generalización y robustez teórica.</w:t>
      </w:r>
    </w:p>
    <w:p w14:paraId="1CFD9B7F"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07B0BC6B"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Otra línea prometedora es la realización de estudios longitudinales que evalúen la estabilidad de las disposiciones críticas a lo largo del tiempo y analicen el impacto de intervenciones educativas mediadas por IA en el fortalecimiento de estas disposiciones. Esto aportaría evidencia sobre la sensibilidad del instrumento para detectar cambios en procesos formativos sostenidos.</w:t>
      </w:r>
    </w:p>
    <w:p w14:paraId="5302EC47"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22391C81"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Asimismo, siguiendo las sugerencias de Vázquez-Parra et al. (2024), futuras investigaciones podrían indagar en la relación entre las percepciones estudiantiles sobre la adopción y formación en herramientas de IA, y el desarrollo de sus disposiciones críticas. Sería relevante examinar cómo estas percepciones varían en función del nivel educativo, el tipo de herramienta utilizada o el acompañamiento pedagógico recibido.</w:t>
      </w:r>
    </w:p>
    <w:p w14:paraId="5B329175"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04074D38" w14:textId="77777777" w:rsidR="00AF5455" w:rsidRDefault="00AF5455" w:rsidP="003E5A64">
      <w:pPr>
        <w:tabs>
          <w:tab w:val="left" w:pos="6330"/>
        </w:tabs>
        <w:spacing w:after="0" w:line="240" w:lineRule="auto"/>
        <w:jc w:val="both"/>
        <w:rPr>
          <w:rFonts w:ascii="Times New Roman" w:hAnsi="Times New Roman" w:cs="Times New Roman"/>
        </w:rPr>
      </w:pPr>
      <w:r w:rsidRPr="001E357C">
        <w:rPr>
          <w:rFonts w:ascii="Times New Roman" w:hAnsi="Times New Roman" w:cs="Times New Roman"/>
        </w:rPr>
        <w:t>Finalmente, la implementación de esta escala puede servir como base empírica para diseñar prácticas educativas orientadas al pensamiento crítico, promoviendo una relación ética, reflexiva y transformadora con las tecnologías emergentes. Esto permitiría sustentar propuestas curriculares más pertinentes ante los desafíos actuales de la educación superior en la era de la inteligencia artificial.</w:t>
      </w:r>
    </w:p>
    <w:p w14:paraId="1A55E7C4" w14:textId="77777777" w:rsidR="00033F0A" w:rsidRPr="001E357C" w:rsidRDefault="00033F0A" w:rsidP="003E5A64">
      <w:pPr>
        <w:tabs>
          <w:tab w:val="left" w:pos="6330"/>
        </w:tabs>
        <w:spacing w:after="0" w:line="240" w:lineRule="auto"/>
        <w:jc w:val="both"/>
        <w:rPr>
          <w:rFonts w:ascii="Times New Roman" w:hAnsi="Times New Roman" w:cs="Times New Roman"/>
        </w:rPr>
      </w:pPr>
    </w:p>
    <w:p w14:paraId="272A1458" w14:textId="77777777" w:rsidR="00AF5455" w:rsidRPr="001E357C" w:rsidRDefault="00AF5455" w:rsidP="00033F0A">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t>Agradecimientos</w:t>
      </w:r>
    </w:p>
    <w:p w14:paraId="6CB544EE" w14:textId="77777777" w:rsidR="00033F0A" w:rsidRDefault="00033F0A" w:rsidP="003E5A64">
      <w:pPr>
        <w:tabs>
          <w:tab w:val="left" w:pos="6330"/>
        </w:tabs>
        <w:spacing w:after="0" w:line="240" w:lineRule="auto"/>
        <w:jc w:val="both"/>
        <w:rPr>
          <w:rFonts w:ascii="Times New Roman" w:hAnsi="Times New Roman" w:cs="Times New Roman"/>
        </w:rPr>
      </w:pPr>
    </w:p>
    <w:p w14:paraId="145B33E3" w14:textId="1D089127" w:rsidR="00AF5455" w:rsidRDefault="00AF5455" w:rsidP="003E5A64">
      <w:pPr>
        <w:tabs>
          <w:tab w:val="left" w:pos="6330"/>
        </w:tabs>
        <w:spacing w:after="0" w:line="240" w:lineRule="auto"/>
        <w:jc w:val="both"/>
        <w:rPr>
          <w:rFonts w:ascii="Times New Roman" w:hAnsi="Times New Roman" w:cs="Times New Roman"/>
        </w:rPr>
      </w:pPr>
      <w:r w:rsidRPr="00033F0A">
        <w:rPr>
          <w:rFonts w:ascii="Times New Roman" w:hAnsi="Times New Roman" w:cs="Times New Roman"/>
        </w:rPr>
        <w:t>La presente investigación forma parte del proyecto doctoral desarrollado en el marco del Doctorado en Innovación en Tecnología Educativa de la Universidad Autónoma de Querétaro. Se agradece el valioso apoyo de las académicas expertas que participaron en el proceso de validación de contenido del instrumento, así como la disposición y colaboración de las y los estudiantes de la Facultad de Ciencias Sociales y Humanidades de la Universidad La Salle Bajío,</w:t>
      </w:r>
      <w:r w:rsidRPr="001E357C">
        <w:rPr>
          <w:rFonts w:ascii="Times New Roman" w:hAnsi="Times New Roman" w:cs="Times New Roman"/>
        </w:rPr>
        <w:t xml:space="preserve"> quienes conformaron la muestra del estudio. Su participación fue fundamental para la construcción de este instrumento.</w:t>
      </w:r>
    </w:p>
    <w:p w14:paraId="2E31FEAE" w14:textId="77777777" w:rsidR="00033F0A" w:rsidRDefault="00033F0A" w:rsidP="003E5A64">
      <w:pPr>
        <w:tabs>
          <w:tab w:val="left" w:pos="6330"/>
        </w:tabs>
        <w:spacing w:after="0" w:line="240" w:lineRule="auto"/>
        <w:jc w:val="both"/>
        <w:rPr>
          <w:rFonts w:ascii="Times New Roman" w:hAnsi="Times New Roman" w:cs="Times New Roman"/>
        </w:rPr>
      </w:pPr>
    </w:p>
    <w:p w14:paraId="6DE559E0" w14:textId="77777777" w:rsidR="00033F0A" w:rsidRDefault="00033F0A" w:rsidP="003E5A64">
      <w:pPr>
        <w:tabs>
          <w:tab w:val="left" w:pos="6330"/>
        </w:tabs>
        <w:spacing w:after="0" w:line="240" w:lineRule="auto"/>
        <w:jc w:val="both"/>
        <w:rPr>
          <w:rFonts w:ascii="Times New Roman" w:hAnsi="Times New Roman" w:cs="Times New Roman"/>
        </w:rPr>
      </w:pPr>
    </w:p>
    <w:p w14:paraId="67784C38" w14:textId="77777777" w:rsidR="00033F0A" w:rsidRDefault="00033F0A" w:rsidP="003E5A64">
      <w:pPr>
        <w:tabs>
          <w:tab w:val="left" w:pos="6330"/>
        </w:tabs>
        <w:spacing w:after="0" w:line="240" w:lineRule="auto"/>
        <w:jc w:val="both"/>
        <w:rPr>
          <w:rFonts w:ascii="Times New Roman" w:hAnsi="Times New Roman" w:cs="Times New Roman"/>
        </w:rPr>
      </w:pPr>
    </w:p>
    <w:p w14:paraId="09E23C9F" w14:textId="77777777" w:rsidR="00AF5455" w:rsidRDefault="00AF5455" w:rsidP="00033F0A">
      <w:pPr>
        <w:tabs>
          <w:tab w:val="left" w:pos="6330"/>
        </w:tabs>
        <w:spacing w:after="0" w:line="240" w:lineRule="auto"/>
        <w:jc w:val="center"/>
        <w:rPr>
          <w:rFonts w:ascii="Times New Roman" w:hAnsi="Times New Roman" w:cs="Times New Roman"/>
          <w:b/>
          <w:bCs/>
        </w:rPr>
      </w:pPr>
      <w:r w:rsidRPr="001E357C">
        <w:rPr>
          <w:rFonts w:ascii="Times New Roman" w:hAnsi="Times New Roman" w:cs="Times New Roman"/>
          <w:b/>
          <w:bCs/>
        </w:rPr>
        <w:lastRenderedPageBreak/>
        <w:t>Referencias</w:t>
      </w:r>
    </w:p>
    <w:p w14:paraId="123A2C09" w14:textId="77777777" w:rsidR="00033F0A" w:rsidRPr="001E357C" w:rsidRDefault="00033F0A" w:rsidP="00033F0A">
      <w:pPr>
        <w:tabs>
          <w:tab w:val="left" w:pos="6330"/>
        </w:tabs>
        <w:spacing w:after="0" w:line="240" w:lineRule="auto"/>
        <w:jc w:val="center"/>
        <w:rPr>
          <w:rFonts w:ascii="Times New Roman" w:hAnsi="Times New Roman" w:cs="Times New Roman"/>
          <w:b/>
          <w:bCs/>
        </w:rPr>
      </w:pPr>
    </w:p>
    <w:p w14:paraId="473C593B"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 xml:space="preserve">Clemente Alcocer, A. A., Cabello Cabrera, A., &amp; Añorve García, E. (2024). La inteligencia artificial en la educación: desafíos éticos y perspectivas hacia una nueva enseñanza. </w:t>
      </w:r>
      <w:r w:rsidRPr="001E357C">
        <w:rPr>
          <w:rFonts w:ascii="Times New Roman" w:hAnsi="Times New Roman" w:cs="Times New Roman"/>
          <w:i/>
          <w:iCs/>
        </w:rPr>
        <w:t>LATAM Revista Latinoamericana de Ciencias Sociales y Humanidades, 5</w:t>
      </w:r>
      <w:r w:rsidRPr="001E357C">
        <w:rPr>
          <w:rFonts w:ascii="Times New Roman" w:hAnsi="Times New Roman" w:cs="Times New Roman"/>
        </w:rPr>
        <w:t xml:space="preserve">(6), 464–472. </w:t>
      </w:r>
      <w:hyperlink r:id="rId9" w:tgtFrame="_new" w:history="1">
        <w:r w:rsidRPr="001E357C">
          <w:rPr>
            <w:rStyle w:val="Hipervnculo"/>
            <w:rFonts w:ascii="Times New Roman" w:hAnsi="Times New Roman" w:cs="Times New Roman"/>
            <w:color w:val="auto"/>
          </w:rPr>
          <w:t>https://doi.org/10.56712/latam.v5i6.3019</w:t>
        </w:r>
      </w:hyperlink>
    </w:p>
    <w:p w14:paraId="7138127C"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 xml:space="preserve">Ennis, R. H. (1996). </w:t>
      </w:r>
      <w:proofErr w:type="spellStart"/>
      <w:r w:rsidRPr="001E357C">
        <w:rPr>
          <w:rFonts w:ascii="Times New Roman" w:hAnsi="Times New Roman" w:cs="Times New Roman"/>
          <w:i/>
          <w:iCs/>
        </w:rPr>
        <w:t>Critical</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thinking</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dispositions</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Their</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nature</w:t>
      </w:r>
      <w:proofErr w:type="spellEnd"/>
      <w:r w:rsidRPr="001E357C">
        <w:rPr>
          <w:rFonts w:ascii="Times New Roman" w:hAnsi="Times New Roman" w:cs="Times New Roman"/>
          <w:i/>
          <w:iCs/>
        </w:rPr>
        <w:t xml:space="preserve"> and </w:t>
      </w:r>
      <w:proofErr w:type="spellStart"/>
      <w:r w:rsidRPr="001E357C">
        <w:rPr>
          <w:rFonts w:ascii="Times New Roman" w:hAnsi="Times New Roman" w:cs="Times New Roman"/>
          <w:i/>
          <w:iCs/>
        </w:rPr>
        <w:t>assessability</w:t>
      </w:r>
      <w:proofErr w:type="spellEnd"/>
      <w:r w:rsidRPr="001E357C">
        <w:rPr>
          <w:rFonts w:ascii="Times New Roman" w:hAnsi="Times New Roman" w:cs="Times New Roman"/>
        </w:rPr>
        <w:t xml:space="preserve">. Informal </w:t>
      </w:r>
      <w:proofErr w:type="spellStart"/>
      <w:r w:rsidRPr="001E357C">
        <w:rPr>
          <w:rFonts w:ascii="Times New Roman" w:hAnsi="Times New Roman" w:cs="Times New Roman"/>
        </w:rPr>
        <w:t>Logic</w:t>
      </w:r>
      <w:proofErr w:type="spellEnd"/>
      <w:r w:rsidRPr="001E357C">
        <w:rPr>
          <w:rFonts w:ascii="Times New Roman" w:hAnsi="Times New Roman" w:cs="Times New Roman"/>
        </w:rPr>
        <w:t xml:space="preserve">, 18(2), 165–182. </w:t>
      </w:r>
      <w:hyperlink r:id="rId10" w:history="1">
        <w:r w:rsidRPr="001E357C">
          <w:rPr>
            <w:rStyle w:val="Hipervnculo"/>
            <w:rFonts w:ascii="Times New Roman" w:hAnsi="Times New Roman" w:cs="Times New Roman"/>
            <w:color w:val="auto"/>
          </w:rPr>
          <w:t>https://doi.org/10.22329/il.v18i2.2378</w:t>
        </w:r>
      </w:hyperlink>
    </w:p>
    <w:p w14:paraId="0F2A0806"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 xml:space="preserve">Facione, P. A. (2011). </w:t>
      </w:r>
      <w:proofErr w:type="spellStart"/>
      <w:r w:rsidRPr="001E357C">
        <w:rPr>
          <w:rFonts w:ascii="Times New Roman" w:hAnsi="Times New Roman" w:cs="Times New Roman"/>
          <w:i/>
          <w:iCs/>
        </w:rPr>
        <w:t>Critical</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thinking</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What</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it</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is</w:t>
      </w:r>
      <w:proofErr w:type="spellEnd"/>
      <w:r w:rsidRPr="001E357C">
        <w:rPr>
          <w:rFonts w:ascii="Times New Roman" w:hAnsi="Times New Roman" w:cs="Times New Roman"/>
          <w:i/>
          <w:iCs/>
        </w:rPr>
        <w:t xml:space="preserve"> and </w:t>
      </w:r>
      <w:proofErr w:type="spellStart"/>
      <w:r w:rsidRPr="001E357C">
        <w:rPr>
          <w:rFonts w:ascii="Times New Roman" w:hAnsi="Times New Roman" w:cs="Times New Roman"/>
          <w:i/>
          <w:iCs/>
        </w:rPr>
        <w:t>why</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it</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counts</w:t>
      </w:r>
      <w:proofErr w:type="spellEnd"/>
      <w:r w:rsidRPr="001E357C">
        <w:rPr>
          <w:rFonts w:ascii="Times New Roman" w:hAnsi="Times New Roman" w:cs="Times New Roman"/>
        </w:rPr>
        <w:t xml:space="preserve"> (PDF Ed.). </w:t>
      </w:r>
      <w:proofErr w:type="spellStart"/>
      <w:r w:rsidRPr="001E357C">
        <w:rPr>
          <w:rFonts w:ascii="Times New Roman" w:hAnsi="Times New Roman" w:cs="Times New Roman"/>
        </w:rPr>
        <w:t>Insight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Assessment</w:t>
      </w:r>
      <w:proofErr w:type="spellEnd"/>
      <w:r w:rsidRPr="001E357C">
        <w:rPr>
          <w:rFonts w:ascii="Times New Roman" w:hAnsi="Times New Roman" w:cs="Times New Roman"/>
        </w:rPr>
        <w:t xml:space="preserve">. </w:t>
      </w:r>
      <w:hyperlink r:id="rId11" w:history="1">
        <w:r w:rsidRPr="001E357C">
          <w:rPr>
            <w:rStyle w:val="Hipervnculo"/>
            <w:rFonts w:ascii="Times New Roman" w:hAnsi="Times New Roman" w:cs="Times New Roman"/>
            <w:color w:val="auto"/>
          </w:rPr>
          <w:t>https://www.researchgate.net/publication/251303244</w:t>
        </w:r>
      </w:hyperlink>
    </w:p>
    <w:p w14:paraId="5A829416"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u w:val="single"/>
        </w:rPr>
      </w:pPr>
      <w:r w:rsidRPr="001E357C">
        <w:rPr>
          <w:rFonts w:ascii="Times New Roman" w:hAnsi="Times New Roman" w:cs="Times New Roman"/>
        </w:rPr>
        <w:t>Ferrando, P. J., &amp; Anguiano-Carrasco, C. (2010). El análisis factorial como técnica de investigación en psicología. Papeles del Psicólogo, 31(1), 18–33.</w:t>
      </w:r>
      <w:r w:rsidRPr="001E357C">
        <w:rPr>
          <w:rFonts w:ascii="Times New Roman" w:hAnsi="Times New Roman" w:cs="Times New Roman"/>
        </w:rPr>
        <w:br/>
      </w:r>
      <w:hyperlink r:id="rId12" w:history="1">
        <w:r w:rsidRPr="001E357C">
          <w:rPr>
            <w:rStyle w:val="Hipervnculo"/>
            <w:rFonts w:ascii="Times New Roman" w:hAnsi="Times New Roman" w:cs="Times New Roman"/>
            <w:color w:val="auto"/>
          </w:rPr>
          <w:t>https://www.redalyc.org/articulo.oa?id=77812441003</w:t>
        </w:r>
      </w:hyperlink>
    </w:p>
    <w:p w14:paraId="5E77FBE3"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b/>
          <w:bCs/>
        </w:rPr>
        <w:t>Ferrando, P. J., &amp; Lorenzo-Seva, U. (2017).</w:t>
      </w:r>
      <w:r w:rsidRPr="001E357C">
        <w:rPr>
          <w:rFonts w:ascii="Times New Roman" w:hAnsi="Times New Roman" w:cs="Times New Roman"/>
        </w:rPr>
        <w:t xml:space="preserve"> </w:t>
      </w:r>
      <w:proofErr w:type="spellStart"/>
      <w:r w:rsidRPr="001E357C">
        <w:rPr>
          <w:rFonts w:ascii="Times New Roman" w:hAnsi="Times New Roman" w:cs="Times New Roman"/>
        </w:rPr>
        <w:t>Program</w:t>
      </w:r>
      <w:proofErr w:type="spellEnd"/>
      <w:r w:rsidRPr="001E357C">
        <w:rPr>
          <w:rFonts w:ascii="Times New Roman" w:hAnsi="Times New Roman" w:cs="Times New Roman"/>
        </w:rPr>
        <w:t xml:space="preserve"> FACTOR at 10: </w:t>
      </w:r>
      <w:proofErr w:type="spellStart"/>
      <w:r w:rsidRPr="001E357C">
        <w:rPr>
          <w:rFonts w:ascii="Times New Roman" w:hAnsi="Times New Roman" w:cs="Times New Roman"/>
        </w:rPr>
        <w:t>Origins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development</w:t>
      </w:r>
      <w:proofErr w:type="spellEnd"/>
      <w:r w:rsidRPr="001E357C">
        <w:rPr>
          <w:rFonts w:ascii="Times New Roman" w:hAnsi="Times New Roman" w:cs="Times New Roman"/>
        </w:rPr>
        <w:t xml:space="preserve"> and future </w:t>
      </w:r>
      <w:proofErr w:type="spellStart"/>
      <w:r w:rsidRPr="001E357C">
        <w:rPr>
          <w:rFonts w:ascii="Times New Roman" w:hAnsi="Times New Roman" w:cs="Times New Roman"/>
        </w:rPr>
        <w:t>directions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i/>
          <w:iCs/>
        </w:rPr>
        <w:t>Psicothema</w:t>
      </w:r>
      <w:proofErr w:type="spellEnd"/>
      <w:r w:rsidRPr="001E357C">
        <w:rPr>
          <w:rFonts w:ascii="Times New Roman" w:hAnsi="Times New Roman" w:cs="Times New Roman"/>
          <w:i/>
          <w:iCs/>
        </w:rPr>
        <w:t>, 29</w:t>
      </w:r>
      <w:r w:rsidRPr="001E357C">
        <w:rPr>
          <w:rFonts w:ascii="Times New Roman" w:hAnsi="Times New Roman" w:cs="Times New Roman"/>
        </w:rPr>
        <w:t xml:space="preserve">(2), 236–240. 4 </w:t>
      </w:r>
      <w:hyperlink r:id="rId13" w:history="1">
        <w:r w:rsidRPr="001E357C">
          <w:rPr>
            <w:rStyle w:val="Hipervnculo"/>
            <w:rFonts w:ascii="Times New Roman" w:hAnsi="Times New Roman" w:cs="Times New Roman"/>
            <w:color w:val="auto"/>
          </w:rPr>
          <w:t>https://doi.org/10.7334/psicothema2016.304</w:t>
        </w:r>
      </w:hyperlink>
    </w:p>
    <w:p w14:paraId="3C0722E2"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roofErr w:type="spellStart"/>
      <w:r w:rsidRPr="001E357C">
        <w:rPr>
          <w:rFonts w:ascii="Times New Roman" w:hAnsi="Times New Roman" w:cs="Times New Roman"/>
        </w:rPr>
        <w:t>Floridi</w:t>
      </w:r>
      <w:proofErr w:type="spellEnd"/>
      <w:r w:rsidRPr="001E357C">
        <w:rPr>
          <w:rFonts w:ascii="Times New Roman" w:hAnsi="Times New Roman" w:cs="Times New Roman"/>
        </w:rPr>
        <w:t xml:space="preserve">, L. (2013). </w:t>
      </w:r>
      <w:proofErr w:type="spellStart"/>
      <w:r w:rsidRPr="001E357C">
        <w:rPr>
          <w:rFonts w:ascii="Times New Roman" w:hAnsi="Times New Roman" w:cs="Times New Roman"/>
          <w:i/>
          <w:iCs/>
        </w:rPr>
        <w:t>The</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ethics</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of</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information</w:t>
      </w:r>
      <w:proofErr w:type="spellEnd"/>
      <w:r w:rsidRPr="001E357C">
        <w:rPr>
          <w:rFonts w:ascii="Times New Roman" w:hAnsi="Times New Roman" w:cs="Times New Roman"/>
        </w:rPr>
        <w:t xml:space="preserve">. Oxford </w:t>
      </w:r>
      <w:proofErr w:type="spellStart"/>
      <w:r w:rsidRPr="001E357C">
        <w:rPr>
          <w:rFonts w:ascii="Times New Roman" w:hAnsi="Times New Roman" w:cs="Times New Roman"/>
        </w:rPr>
        <w:t>University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Press</w:t>
      </w:r>
      <w:proofErr w:type="spellEnd"/>
      <w:r w:rsidRPr="001E357C">
        <w:rPr>
          <w:rFonts w:ascii="Times New Roman" w:hAnsi="Times New Roman" w:cs="Times New Roman"/>
        </w:rPr>
        <w:t xml:space="preserve">. </w:t>
      </w:r>
      <w:hyperlink r:id="rId14" w:tgtFrame="_new" w:history="1">
        <w:r w:rsidRPr="001E357C">
          <w:rPr>
            <w:rStyle w:val="Hipervnculo"/>
            <w:rFonts w:ascii="Times New Roman" w:hAnsi="Times New Roman" w:cs="Times New Roman"/>
            <w:color w:val="auto"/>
          </w:rPr>
          <w:t>https://doi.org/10.1093/acprof:oso/9780199641321.001.0001</w:t>
        </w:r>
      </w:hyperlink>
    </w:p>
    <w:p w14:paraId="78D215C2"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roofErr w:type="spellStart"/>
      <w:r w:rsidRPr="001E357C">
        <w:rPr>
          <w:rFonts w:ascii="Times New Roman" w:hAnsi="Times New Roman" w:cs="Times New Roman"/>
        </w:rPr>
        <w:t>Gallent</w:t>
      </w:r>
      <w:proofErr w:type="spellEnd"/>
      <w:r w:rsidRPr="001E357C">
        <w:rPr>
          <w:rFonts w:ascii="Times New Roman" w:hAnsi="Times New Roman" w:cs="Times New Roman"/>
        </w:rPr>
        <w:t xml:space="preserve">, C.; A. Zapata; J. </w:t>
      </w:r>
      <w:proofErr w:type="spellStart"/>
      <w:r w:rsidRPr="001E357C">
        <w:rPr>
          <w:rFonts w:ascii="Times New Roman" w:hAnsi="Times New Roman" w:cs="Times New Roman"/>
        </w:rPr>
        <w:t>Ortego</w:t>
      </w:r>
      <w:proofErr w:type="spellEnd"/>
      <w:r w:rsidRPr="001E357C">
        <w:rPr>
          <w:rFonts w:ascii="Times New Roman" w:hAnsi="Times New Roman" w:cs="Times New Roman"/>
        </w:rPr>
        <w:t xml:space="preserve"> (2023). El impacto de la inteligencia artificial generativa en educación superior: una mirada desde la ética y la integridad académica. </w:t>
      </w:r>
      <w:r w:rsidRPr="001E357C">
        <w:rPr>
          <w:rFonts w:ascii="Times New Roman" w:hAnsi="Times New Roman" w:cs="Times New Roman"/>
          <w:i/>
          <w:iCs/>
        </w:rPr>
        <w:t>RELIEVE - Revista Electrónica de Investigación y Evaluación Educativa</w:t>
      </w:r>
      <w:r w:rsidRPr="001E357C">
        <w:rPr>
          <w:rFonts w:ascii="Times New Roman" w:hAnsi="Times New Roman" w:cs="Times New Roman"/>
        </w:rPr>
        <w:t xml:space="preserve">, </w:t>
      </w:r>
      <w:r w:rsidRPr="001E357C">
        <w:rPr>
          <w:rFonts w:ascii="Times New Roman" w:hAnsi="Times New Roman" w:cs="Times New Roman"/>
          <w:i/>
          <w:iCs/>
        </w:rPr>
        <w:t>29</w:t>
      </w:r>
      <w:r w:rsidRPr="001E357C">
        <w:rPr>
          <w:rFonts w:ascii="Times New Roman" w:hAnsi="Times New Roman" w:cs="Times New Roman"/>
        </w:rPr>
        <w:t xml:space="preserve">(2). </w:t>
      </w:r>
      <w:hyperlink r:id="rId15" w:history="1">
        <w:r w:rsidRPr="001E357C">
          <w:rPr>
            <w:rStyle w:val="Hipervnculo"/>
            <w:rFonts w:ascii="Times New Roman" w:hAnsi="Times New Roman" w:cs="Times New Roman"/>
            <w:color w:val="auto"/>
          </w:rPr>
          <w:t>https://doi.org/10.30827/relieve.v29i2.29134</w:t>
        </w:r>
      </w:hyperlink>
    </w:p>
    <w:p w14:paraId="2E99B5A1"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59D9A898"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 xml:space="preserve">García-Peñalvo, F. J., Llorens-Largo, F., &amp; Vidal, J. (2024).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new </w:t>
      </w:r>
      <w:proofErr w:type="spellStart"/>
      <w:r w:rsidRPr="001E357C">
        <w:rPr>
          <w:rFonts w:ascii="Times New Roman" w:hAnsi="Times New Roman" w:cs="Times New Roman"/>
        </w:rPr>
        <w:t>reality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education</w:t>
      </w:r>
      <w:proofErr w:type="spellEnd"/>
      <w:r w:rsidRPr="001E357C">
        <w:rPr>
          <w:rFonts w:ascii="Times New Roman" w:hAnsi="Times New Roman" w:cs="Times New Roman"/>
        </w:rPr>
        <w:t xml:space="preserve"> in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face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advances</w:t>
      </w:r>
      <w:proofErr w:type="spellEnd"/>
      <w:r w:rsidRPr="001E357C">
        <w:rPr>
          <w:rFonts w:ascii="Times New Roman" w:hAnsi="Times New Roman" w:cs="Times New Roman"/>
        </w:rPr>
        <w:t xml:space="preserve"> in generative artificial </w:t>
      </w:r>
      <w:proofErr w:type="spellStart"/>
      <w:r w:rsidRPr="001E357C">
        <w:rPr>
          <w:rFonts w:ascii="Times New Roman" w:hAnsi="Times New Roman" w:cs="Times New Roman"/>
        </w:rPr>
        <w:t>intelligence</w:t>
      </w:r>
      <w:proofErr w:type="spellEnd"/>
      <w:r w:rsidRPr="001E357C">
        <w:rPr>
          <w:rFonts w:ascii="Times New Roman" w:hAnsi="Times New Roman" w:cs="Times New Roman"/>
        </w:rPr>
        <w:t xml:space="preserve">. </w:t>
      </w:r>
      <w:r w:rsidRPr="001E357C">
        <w:rPr>
          <w:rFonts w:ascii="Times New Roman" w:hAnsi="Times New Roman" w:cs="Times New Roman"/>
          <w:i/>
          <w:iCs/>
        </w:rPr>
        <w:t>RIED. Revista Iberoamericana de Educación a Distancia, 27</w:t>
      </w:r>
      <w:r w:rsidRPr="001E357C">
        <w:rPr>
          <w:rFonts w:ascii="Times New Roman" w:hAnsi="Times New Roman" w:cs="Times New Roman"/>
        </w:rPr>
        <w:t xml:space="preserve">(1), 11–30. </w:t>
      </w:r>
      <w:hyperlink r:id="rId16" w:tgtFrame="_new" w:history="1">
        <w:r w:rsidRPr="001E357C">
          <w:rPr>
            <w:rStyle w:val="Hipervnculo"/>
            <w:rFonts w:ascii="Times New Roman" w:hAnsi="Times New Roman" w:cs="Times New Roman"/>
            <w:color w:val="auto"/>
          </w:rPr>
          <w:t>https://doi.org/10.5944/ried.27.1.37716</w:t>
        </w:r>
      </w:hyperlink>
    </w:p>
    <w:p w14:paraId="0E25B786"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57FE3D29"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4F7D318C"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roofErr w:type="spellStart"/>
      <w:r w:rsidRPr="001E357C">
        <w:rPr>
          <w:rFonts w:ascii="Times New Roman" w:hAnsi="Times New Roman" w:cs="Times New Roman"/>
        </w:rPr>
        <w:t>Gouia-Zarrad</w:t>
      </w:r>
      <w:proofErr w:type="spellEnd"/>
      <w:r w:rsidRPr="001E357C">
        <w:rPr>
          <w:rFonts w:ascii="Times New Roman" w:hAnsi="Times New Roman" w:cs="Times New Roman"/>
        </w:rPr>
        <w:t xml:space="preserve">, R.; C. Gunn (2024). </w:t>
      </w:r>
      <w:proofErr w:type="spellStart"/>
      <w:r w:rsidRPr="001E357C">
        <w:rPr>
          <w:rFonts w:ascii="Times New Roman" w:hAnsi="Times New Roman" w:cs="Times New Roman"/>
        </w:rPr>
        <w:t>Enhancing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students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learning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experience</w:t>
      </w:r>
      <w:proofErr w:type="spellEnd"/>
      <w:r w:rsidRPr="001E357C">
        <w:rPr>
          <w:rFonts w:ascii="Times New Roman" w:hAnsi="Times New Roman" w:cs="Times New Roman"/>
        </w:rPr>
        <w:t xml:space="preserve"> in </w:t>
      </w:r>
      <w:proofErr w:type="spellStart"/>
      <w:r w:rsidRPr="001E357C">
        <w:rPr>
          <w:rFonts w:ascii="Times New Roman" w:hAnsi="Times New Roman" w:cs="Times New Roman"/>
        </w:rPr>
        <w:t>mathematics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class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through</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ChatGPT</w:t>
      </w:r>
      <w:proofErr w:type="spellEnd"/>
      <w:r w:rsidRPr="001E357C">
        <w:rPr>
          <w:rFonts w:ascii="Times New Roman" w:hAnsi="Times New Roman" w:cs="Times New Roman"/>
        </w:rPr>
        <w:t xml:space="preserve">. </w:t>
      </w:r>
      <w:r w:rsidRPr="001E357C">
        <w:rPr>
          <w:rFonts w:ascii="Times New Roman" w:hAnsi="Times New Roman" w:cs="Times New Roman"/>
          <w:i/>
        </w:rPr>
        <w:t xml:space="preserve">International Electronic </w:t>
      </w:r>
      <w:proofErr w:type="spellStart"/>
      <w:r w:rsidRPr="001E357C">
        <w:rPr>
          <w:rFonts w:ascii="Times New Roman" w:hAnsi="Times New Roman" w:cs="Times New Roman"/>
          <w:i/>
        </w:rPr>
        <w:t>Journal</w:t>
      </w:r>
      <w:proofErr w:type="spellEnd"/>
      <w:r w:rsidRPr="001E357C">
        <w:rPr>
          <w:rFonts w:ascii="Times New Roman" w:hAnsi="Times New Roman" w:cs="Times New Roman"/>
          <w:i/>
        </w:rPr>
        <w:t xml:space="preserve"> </w:t>
      </w:r>
      <w:proofErr w:type="spellStart"/>
      <w:r w:rsidRPr="001E357C">
        <w:rPr>
          <w:rFonts w:ascii="Times New Roman" w:hAnsi="Times New Roman" w:cs="Times New Roman"/>
          <w:i/>
        </w:rPr>
        <w:t>of</w:t>
      </w:r>
      <w:proofErr w:type="spellEnd"/>
      <w:r w:rsidRPr="001E357C">
        <w:rPr>
          <w:rFonts w:ascii="Times New Roman" w:hAnsi="Times New Roman" w:cs="Times New Roman"/>
          <w:i/>
        </w:rPr>
        <w:t xml:space="preserve"> </w:t>
      </w:r>
      <w:proofErr w:type="spellStart"/>
      <w:r w:rsidRPr="001E357C">
        <w:rPr>
          <w:rFonts w:ascii="Times New Roman" w:hAnsi="Times New Roman" w:cs="Times New Roman"/>
          <w:i/>
        </w:rPr>
        <w:t>Mathematics</w:t>
      </w:r>
      <w:proofErr w:type="spellEnd"/>
      <w:r w:rsidRPr="001E357C">
        <w:rPr>
          <w:rFonts w:ascii="Times New Roman" w:hAnsi="Times New Roman" w:cs="Times New Roman"/>
          <w:i/>
        </w:rPr>
        <w:t xml:space="preserve"> </w:t>
      </w:r>
      <w:proofErr w:type="spellStart"/>
      <w:r w:rsidRPr="001E357C">
        <w:rPr>
          <w:rFonts w:ascii="Times New Roman" w:hAnsi="Times New Roman" w:cs="Times New Roman"/>
          <w:i/>
        </w:rPr>
        <w:t>Education</w:t>
      </w:r>
      <w:proofErr w:type="spellEnd"/>
      <w:r w:rsidRPr="001E357C">
        <w:rPr>
          <w:rFonts w:ascii="Times New Roman" w:hAnsi="Times New Roman" w:cs="Times New Roman"/>
          <w:i/>
        </w:rPr>
        <w:t>, 19</w:t>
      </w:r>
      <w:r w:rsidRPr="001E357C">
        <w:rPr>
          <w:rFonts w:ascii="Times New Roman" w:hAnsi="Times New Roman" w:cs="Times New Roman"/>
        </w:rPr>
        <w:t xml:space="preserve">(3), em0781. </w:t>
      </w:r>
      <w:hyperlink r:id="rId17" w:history="1">
        <w:r w:rsidRPr="001E357C">
          <w:rPr>
            <w:rStyle w:val="Hipervnculo"/>
            <w:rFonts w:ascii="Times New Roman" w:hAnsi="Times New Roman" w:cs="Times New Roman"/>
            <w:color w:val="auto"/>
          </w:rPr>
          <w:t>https://doi.org/10.29333/iejme/14614</w:t>
        </w:r>
      </w:hyperlink>
    </w:p>
    <w:p w14:paraId="10E2B808"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64BABB28"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b/>
          <w:bCs/>
        </w:rPr>
        <w:t xml:space="preserve">Lloret-Segura, S., </w:t>
      </w:r>
      <w:proofErr w:type="spellStart"/>
      <w:r w:rsidRPr="001E357C">
        <w:rPr>
          <w:rFonts w:ascii="Times New Roman" w:hAnsi="Times New Roman" w:cs="Times New Roman"/>
          <w:b/>
          <w:bCs/>
        </w:rPr>
        <w:t>Ferreres-Traver</w:t>
      </w:r>
      <w:proofErr w:type="spellEnd"/>
      <w:r w:rsidRPr="001E357C">
        <w:rPr>
          <w:rFonts w:ascii="Times New Roman" w:hAnsi="Times New Roman" w:cs="Times New Roman"/>
          <w:b/>
          <w:bCs/>
        </w:rPr>
        <w:t>, A., Hernández-Baeza, A., &amp; Tomás-Marco, I. (2014).</w:t>
      </w:r>
      <w:r w:rsidRPr="001E357C">
        <w:rPr>
          <w:rFonts w:ascii="Times New Roman" w:hAnsi="Times New Roman" w:cs="Times New Roman"/>
        </w:rPr>
        <w:br/>
        <w:t xml:space="preserve">El análisis factorial exploratorio de los ítems: una guía práctica, revisada y actualizada. </w:t>
      </w:r>
      <w:r w:rsidRPr="001E357C">
        <w:rPr>
          <w:rFonts w:ascii="Times New Roman" w:hAnsi="Times New Roman" w:cs="Times New Roman"/>
          <w:i/>
          <w:iCs/>
        </w:rPr>
        <w:t>Anales de Psicología, 30</w:t>
      </w:r>
      <w:r w:rsidRPr="001E357C">
        <w:rPr>
          <w:rFonts w:ascii="Times New Roman" w:hAnsi="Times New Roman" w:cs="Times New Roman"/>
        </w:rPr>
        <w:t xml:space="preserve">(3), 1151–1169. </w:t>
      </w:r>
      <w:hyperlink r:id="rId18" w:history="1">
        <w:r w:rsidRPr="001E357C">
          <w:rPr>
            <w:rStyle w:val="Hipervnculo"/>
            <w:rFonts w:ascii="Times New Roman" w:hAnsi="Times New Roman" w:cs="Times New Roman"/>
            <w:color w:val="auto"/>
          </w:rPr>
          <w:t>https://doi.org/10.6018/analesps.30.3.199361</w:t>
        </w:r>
      </w:hyperlink>
    </w:p>
    <w:p w14:paraId="6AAAECD5"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 xml:space="preserve">Muñiz, J., &amp; Fonseca-Pedrero, E. (2019). Diez pasos para la construcción de un test. </w:t>
      </w:r>
      <w:proofErr w:type="spellStart"/>
      <w:r w:rsidRPr="001E357C">
        <w:rPr>
          <w:rFonts w:ascii="Times New Roman" w:hAnsi="Times New Roman" w:cs="Times New Roman"/>
          <w:i/>
          <w:iCs/>
        </w:rPr>
        <w:t>Psicothema</w:t>
      </w:r>
      <w:proofErr w:type="spellEnd"/>
      <w:r w:rsidRPr="001E357C">
        <w:rPr>
          <w:rFonts w:ascii="Times New Roman" w:hAnsi="Times New Roman" w:cs="Times New Roman"/>
          <w:i/>
          <w:iCs/>
        </w:rPr>
        <w:t>, 31</w:t>
      </w:r>
      <w:r w:rsidRPr="001E357C">
        <w:rPr>
          <w:rFonts w:ascii="Times New Roman" w:hAnsi="Times New Roman" w:cs="Times New Roman"/>
        </w:rPr>
        <w:t xml:space="preserve">(1), 7–16. </w:t>
      </w:r>
      <w:hyperlink r:id="rId19" w:tgtFrame="_new" w:history="1">
        <w:r w:rsidRPr="001E357C">
          <w:rPr>
            <w:rStyle w:val="Hipervnculo"/>
            <w:rFonts w:ascii="Times New Roman" w:hAnsi="Times New Roman" w:cs="Times New Roman"/>
            <w:color w:val="auto"/>
          </w:rPr>
          <w:t>https://doi.org/10.7334/psicothema2018.153</w:t>
        </w:r>
      </w:hyperlink>
    </w:p>
    <w:p w14:paraId="3A4C9885"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27840ACC"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u w:val="single"/>
        </w:rPr>
      </w:pPr>
      <w:r w:rsidRPr="001E357C">
        <w:rPr>
          <w:rFonts w:ascii="Times New Roman" w:hAnsi="Times New Roman" w:cs="Times New Roman"/>
        </w:rPr>
        <w:t xml:space="preserve">Nguyen, T.; N. </w:t>
      </w:r>
      <w:proofErr w:type="spellStart"/>
      <w:r w:rsidRPr="001E357C">
        <w:rPr>
          <w:rFonts w:ascii="Times New Roman" w:hAnsi="Times New Roman" w:cs="Times New Roman"/>
        </w:rPr>
        <w:t>Lai</w:t>
      </w:r>
      <w:proofErr w:type="spellEnd"/>
      <w:r w:rsidRPr="001E357C">
        <w:rPr>
          <w:rFonts w:ascii="Times New Roman" w:hAnsi="Times New Roman" w:cs="Times New Roman"/>
        </w:rPr>
        <w:t xml:space="preserve">; Q. Nguyen (2024). Artificial </w:t>
      </w:r>
      <w:proofErr w:type="spellStart"/>
      <w:r w:rsidRPr="001E357C">
        <w:rPr>
          <w:rFonts w:ascii="Times New Roman" w:hAnsi="Times New Roman" w:cs="Times New Roman"/>
        </w:rPr>
        <w:t>Intelligence</w:t>
      </w:r>
      <w:proofErr w:type="spellEnd"/>
      <w:r w:rsidRPr="001E357C">
        <w:rPr>
          <w:rFonts w:ascii="Times New Roman" w:hAnsi="Times New Roman" w:cs="Times New Roman"/>
        </w:rPr>
        <w:t xml:space="preserve"> (AI) in </w:t>
      </w:r>
      <w:proofErr w:type="spellStart"/>
      <w:r w:rsidRPr="001E357C">
        <w:rPr>
          <w:rFonts w:ascii="Times New Roman" w:hAnsi="Times New Roman" w:cs="Times New Roman"/>
        </w:rPr>
        <w:t>Education</w:t>
      </w:r>
      <w:proofErr w:type="spellEnd"/>
      <w:r w:rsidRPr="001E357C">
        <w:rPr>
          <w:rFonts w:ascii="Times New Roman" w:hAnsi="Times New Roman" w:cs="Times New Roman"/>
        </w:rPr>
        <w:t xml:space="preserve">: A Case </w:t>
      </w:r>
      <w:proofErr w:type="spellStart"/>
      <w:r w:rsidRPr="001E357C">
        <w:rPr>
          <w:rFonts w:ascii="Times New Roman" w:hAnsi="Times New Roman" w:cs="Times New Roman"/>
        </w:rPr>
        <w:t>Study</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ChatGPT’s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Influence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Student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Learning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Behaviors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i/>
        </w:rPr>
        <w:t>Educational</w:t>
      </w:r>
      <w:proofErr w:type="spellEnd"/>
      <w:r w:rsidRPr="001E357C">
        <w:rPr>
          <w:rFonts w:ascii="Times New Roman" w:hAnsi="Times New Roman" w:cs="Times New Roman"/>
          <w:i/>
        </w:rPr>
        <w:t xml:space="preserve"> </w:t>
      </w:r>
      <w:proofErr w:type="spellStart"/>
      <w:r w:rsidRPr="001E357C">
        <w:rPr>
          <w:rFonts w:ascii="Times New Roman" w:hAnsi="Times New Roman" w:cs="Times New Roman"/>
          <w:i/>
        </w:rPr>
        <w:t>Process</w:t>
      </w:r>
      <w:proofErr w:type="spellEnd"/>
      <w:r w:rsidRPr="001E357C">
        <w:rPr>
          <w:rFonts w:ascii="Times New Roman" w:hAnsi="Times New Roman" w:cs="Times New Roman"/>
          <w:i/>
        </w:rPr>
        <w:t xml:space="preserve">: International </w:t>
      </w:r>
      <w:proofErr w:type="spellStart"/>
      <w:r w:rsidRPr="001E357C">
        <w:rPr>
          <w:rFonts w:ascii="Times New Roman" w:hAnsi="Times New Roman" w:cs="Times New Roman"/>
          <w:i/>
        </w:rPr>
        <w:t>Journal</w:t>
      </w:r>
      <w:proofErr w:type="spellEnd"/>
      <w:r w:rsidRPr="001E357C">
        <w:rPr>
          <w:rFonts w:ascii="Times New Roman" w:hAnsi="Times New Roman" w:cs="Times New Roman"/>
          <w:i/>
        </w:rPr>
        <w:t>, 13</w:t>
      </w:r>
      <w:r w:rsidRPr="001E357C">
        <w:rPr>
          <w:rFonts w:ascii="Times New Roman" w:hAnsi="Times New Roman" w:cs="Times New Roman"/>
        </w:rPr>
        <w:t xml:space="preserve">(2), 105-121. </w:t>
      </w:r>
      <w:hyperlink r:id="rId20" w:history="1">
        <w:r w:rsidRPr="001E357C">
          <w:rPr>
            <w:rStyle w:val="Hipervnculo"/>
            <w:rFonts w:ascii="Times New Roman" w:hAnsi="Times New Roman" w:cs="Times New Roman"/>
            <w:color w:val="auto"/>
          </w:rPr>
          <w:t>https://doi.org/10.22521/edupij.2024.132.7</w:t>
        </w:r>
      </w:hyperlink>
    </w:p>
    <w:p w14:paraId="0F9EFDD8"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617CF0C1"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b/>
          <w:bCs/>
        </w:rPr>
        <w:t>Oviedo, H. C., &amp; Campo-Arias, A. (2005).</w:t>
      </w:r>
      <w:r w:rsidRPr="001E357C">
        <w:rPr>
          <w:rFonts w:ascii="Times New Roman" w:hAnsi="Times New Roman" w:cs="Times New Roman"/>
        </w:rPr>
        <w:t xml:space="preserve"> Aproximación al uso del coeficiente alfa de Cronbach. </w:t>
      </w:r>
      <w:r w:rsidRPr="001E357C">
        <w:rPr>
          <w:rFonts w:ascii="Times New Roman" w:hAnsi="Times New Roman" w:cs="Times New Roman"/>
          <w:i/>
          <w:iCs/>
        </w:rPr>
        <w:t>Revista Colombiana de Psiquiatría, 34</w:t>
      </w:r>
      <w:r w:rsidRPr="001E357C">
        <w:rPr>
          <w:rFonts w:ascii="Times New Roman" w:hAnsi="Times New Roman" w:cs="Times New Roman"/>
        </w:rPr>
        <w:t xml:space="preserve">(4), 572–580. </w:t>
      </w:r>
      <w:hyperlink r:id="rId21" w:history="1">
        <w:r w:rsidRPr="001E357C">
          <w:rPr>
            <w:rStyle w:val="Hipervnculo"/>
            <w:rFonts w:ascii="Times New Roman" w:hAnsi="Times New Roman" w:cs="Times New Roman"/>
            <w:color w:val="auto"/>
          </w:rPr>
          <w:t>https://www.redalyc.org/pdf/806/80634409.pdf</w:t>
        </w:r>
      </w:hyperlink>
    </w:p>
    <w:p w14:paraId="112CF92D"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 xml:space="preserve">Paul, R., &amp; Elder, L. (2008). </w:t>
      </w:r>
      <w:proofErr w:type="spellStart"/>
      <w:r w:rsidRPr="001E357C">
        <w:rPr>
          <w:rFonts w:ascii="Times New Roman" w:hAnsi="Times New Roman" w:cs="Times New Roman"/>
          <w:i/>
          <w:iCs/>
        </w:rPr>
        <w:t>The</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miniature</w:t>
      </w:r>
      <w:proofErr w:type="spellEnd"/>
      <w:r w:rsidRPr="001E357C">
        <w:rPr>
          <w:rFonts w:ascii="Times New Roman" w:hAnsi="Times New Roman" w:cs="Times New Roman"/>
          <w:i/>
          <w:iCs/>
        </w:rPr>
        <w:t xml:space="preserve"> guide </w:t>
      </w:r>
      <w:proofErr w:type="spellStart"/>
      <w:r w:rsidRPr="001E357C">
        <w:rPr>
          <w:rFonts w:ascii="Times New Roman" w:hAnsi="Times New Roman" w:cs="Times New Roman"/>
          <w:i/>
          <w:iCs/>
        </w:rPr>
        <w:t>to</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critical</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thinking</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Concepts</w:t>
      </w:r>
      <w:proofErr w:type="spellEnd"/>
      <w:r w:rsidRPr="001E357C">
        <w:rPr>
          <w:rFonts w:ascii="Times New Roman" w:hAnsi="Times New Roman" w:cs="Times New Roman"/>
          <w:i/>
          <w:iCs/>
        </w:rPr>
        <w:t xml:space="preserve"> and </w:t>
      </w:r>
      <w:proofErr w:type="spellStart"/>
      <w:r w:rsidRPr="001E357C">
        <w:rPr>
          <w:rFonts w:ascii="Times New Roman" w:hAnsi="Times New Roman" w:cs="Times New Roman"/>
          <w:i/>
          <w:iCs/>
        </w:rPr>
        <w:t>tools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Foundation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for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Press</w:t>
      </w:r>
      <w:proofErr w:type="spellEnd"/>
      <w:r w:rsidRPr="001E357C">
        <w:rPr>
          <w:rFonts w:ascii="Times New Roman" w:hAnsi="Times New Roman" w:cs="Times New Roman"/>
        </w:rPr>
        <w:t>.</w:t>
      </w:r>
    </w:p>
    <w:p w14:paraId="055FFDC1"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lastRenderedPageBreak/>
        <w:t xml:space="preserve">Ríos Hernández, I. N., Mateus, J. C., Rivera, D., &amp; Ávila, L. (2024). </w:t>
      </w:r>
      <w:r w:rsidRPr="001E357C">
        <w:rPr>
          <w:rFonts w:ascii="Times New Roman" w:hAnsi="Times New Roman" w:cs="Times New Roman"/>
          <w:i/>
          <w:iCs/>
        </w:rPr>
        <w:t>Percepciones de estudiantes latinoamericanos sobre el uso de la inteligencia artificial en la educación superior</w:t>
      </w:r>
      <w:r w:rsidRPr="001E357C">
        <w:rPr>
          <w:rFonts w:ascii="Times New Roman" w:hAnsi="Times New Roman" w:cs="Times New Roman"/>
        </w:rPr>
        <w:t xml:space="preserve">. </w:t>
      </w:r>
      <w:r w:rsidRPr="001E357C">
        <w:rPr>
          <w:rFonts w:ascii="Times New Roman" w:hAnsi="Times New Roman" w:cs="Times New Roman"/>
          <w:i/>
          <w:iCs/>
        </w:rPr>
        <w:t>Austral Comunicación, 13</w:t>
      </w:r>
      <w:r w:rsidRPr="001E357C">
        <w:rPr>
          <w:rFonts w:ascii="Times New Roman" w:hAnsi="Times New Roman" w:cs="Times New Roman"/>
        </w:rPr>
        <w:t xml:space="preserve">(1), e01302. </w:t>
      </w:r>
      <w:hyperlink r:id="rId22" w:tgtFrame="_new" w:history="1">
        <w:r w:rsidRPr="001E357C">
          <w:rPr>
            <w:rStyle w:val="Hipervnculo"/>
            <w:rFonts w:ascii="Times New Roman" w:hAnsi="Times New Roman" w:cs="Times New Roman"/>
            <w:color w:val="auto"/>
          </w:rPr>
          <w:t>https://doi.org/10.26422/aucom.2024.1301.rio</w:t>
        </w:r>
      </w:hyperlink>
    </w:p>
    <w:p w14:paraId="4E9696C0"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r w:rsidRPr="001E357C">
        <w:rPr>
          <w:rFonts w:ascii="Times New Roman" w:hAnsi="Times New Roman" w:cs="Times New Roman"/>
        </w:rPr>
        <w:t>Ruiz-Rojas, L.; L. Salvador-</w:t>
      </w:r>
      <w:proofErr w:type="spellStart"/>
      <w:r w:rsidRPr="001E357C">
        <w:rPr>
          <w:rFonts w:ascii="Times New Roman" w:hAnsi="Times New Roman" w:cs="Times New Roman"/>
        </w:rPr>
        <w:t>Ullauri</w:t>
      </w:r>
      <w:proofErr w:type="spellEnd"/>
      <w:r w:rsidRPr="001E357C">
        <w:rPr>
          <w:rFonts w:ascii="Times New Roman" w:hAnsi="Times New Roman" w:cs="Times New Roman"/>
        </w:rPr>
        <w:t xml:space="preserve">; P. Acosta-Vargas (2024). </w:t>
      </w:r>
      <w:proofErr w:type="spellStart"/>
      <w:r w:rsidRPr="001E357C">
        <w:rPr>
          <w:rFonts w:ascii="Times New Roman" w:hAnsi="Times New Roman" w:cs="Times New Roman"/>
        </w:rPr>
        <w:t>Collaborative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Working</w:t>
      </w:r>
      <w:proofErr w:type="spellEnd"/>
      <w:r w:rsidRPr="001E357C">
        <w:rPr>
          <w:rFonts w:ascii="Times New Roman" w:hAnsi="Times New Roman" w:cs="Times New Roman"/>
        </w:rPr>
        <w:t xml:space="preserve"> and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Adoption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of</w:t>
      </w:r>
      <w:proofErr w:type="spellEnd"/>
      <w:r w:rsidRPr="001E357C">
        <w:rPr>
          <w:rFonts w:ascii="Times New Roman" w:hAnsi="Times New Roman" w:cs="Times New Roman"/>
        </w:rPr>
        <w:t xml:space="preserve"> Generative Artificial </w:t>
      </w:r>
      <w:proofErr w:type="spellStart"/>
      <w:r w:rsidRPr="001E357C">
        <w:rPr>
          <w:rFonts w:ascii="Times New Roman" w:hAnsi="Times New Roman" w:cs="Times New Roman"/>
        </w:rPr>
        <w:t>Intelligence</w:t>
      </w:r>
      <w:proofErr w:type="spellEnd"/>
      <w:r w:rsidRPr="001E357C">
        <w:rPr>
          <w:rFonts w:ascii="Times New Roman" w:hAnsi="Times New Roman" w:cs="Times New Roman"/>
        </w:rPr>
        <w:t xml:space="preserve"> Tools in </w:t>
      </w:r>
      <w:proofErr w:type="spellStart"/>
      <w:r w:rsidRPr="001E357C">
        <w:rPr>
          <w:rFonts w:ascii="Times New Roman" w:hAnsi="Times New Roman" w:cs="Times New Roman"/>
        </w:rPr>
        <w:t>Higher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Education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i/>
          <w:iCs/>
        </w:rPr>
        <w:t>Sustainability</w:t>
      </w:r>
      <w:proofErr w:type="spellEnd"/>
      <w:r w:rsidRPr="001E357C">
        <w:rPr>
          <w:rFonts w:ascii="Times New Roman" w:hAnsi="Times New Roman" w:cs="Times New Roman"/>
        </w:rPr>
        <w:t xml:space="preserve">, </w:t>
      </w:r>
      <w:r w:rsidRPr="001E357C">
        <w:rPr>
          <w:rFonts w:ascii="Times New Roman" w:hAnsi="Times New Roman" w:cs="Times New Roman"/>
          <w:i/>
          <w:iCs/>
        </w:rPr>
        <w:t>16</w:t>
      </w:r>
      <w:r w:rsidRPr="001E357C">
        <w:rPr>
          <w:rFonts w:ascii="Times New Roman" w:hAnsi="Times New Roman" w:cs="Times New Roman"/>
        </w:rPr>
        <w:t xml:space="preserve">(13), 5367. </w:t>
      </w:r>
      <w:hyperlink r:id="rId23" w:history="1">
        <w:r w:rsidRPr="001E357C">
          <w:rPr>
            <w:rStyle w:val="Hipervnculo"/>
            <w:rFonts w:ascii="Times New Roman" w:hAnsi="Times New Roman" w:cs="Times New Roman"/>
            <w:color w:val="auto"/>
          </w:rPr>
          <w:t>https://doi.org/10.3390/su16135367</w:t>
        </w:r>
      </w:hyperlink>
    </w:p>
    <w:p w14:paraId="02222217"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roofErr w:type="spellStart"/>
      <w:r w:rsidRPr="001E357C">
        <w:rPr>
          <w:rFonts w:ascii="Times New Roman" w:hAnsi="Times New Roman" w:cs="Times New Roman"/>
        </w:rPr>
        <w:t>Shanto</w:t>
      </w:r>
      <w:proofErr w:type="spellEnd"/>
      <w:r w:rsidRPr="001E357C">
        <w:rPr>
          <w:rFonts w:ascii="Times New Roman" w:hAnsi="Times New Roman" w:cs="Times New Roman"/>
        </w:rPr>
        <w:t xml:space="preserve">, S. S., Ahmed, Z., &amp; </w:t>
      </w:r>
      <w:proofErr w:type="gramStart"/>
      <w:r w:rsidRPr="001E357C">
        <w:rPr>
          <w:rFonts w:ascii="Times New Roman" w:hAnsi="Times New Roman" w:cs="Times New Roman"/>
        </w:rPr>
        <w:t>Islam</w:t>
      </w:r>
      <w:proofErr w:type="gramEnd"/>
      <w:r w:rsidRPr="001E357C">
        <w:rPr>
          <w:rFonts w:ascii="Times New Roman" w:hAnsi="Times New Roman" w:cs="Times New Roman"/>
        </w:rPr>
        <w:t xml:space="preserve">, A. (2024). </w:t>
      </w:r>
      <w:proofErr w:type="spellStart"/>
      <w:r w:rsidRPr="001E357C">
        <w:rPr>
          <w:rFonts w:ascii="Times New Roman" w:hAnsi="Times New Roman" w:cs="Times New Roman"/>
        </w:rPr>
        <w:t>Enriching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learning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process</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with</w:t>
      </w:r>
      <w:proofErr w:type="spellEnd"/>
      <w:r w:rsidRPr="001E357C">
        <w:rPr>
          <w:rFonts w:ascii="Times New Roman" w:hAnsi="Times New Roman" w:cs="Times New Roman"/>
        </w:rPr>
        <w:t xml:space="preserve"> generative AI: A </w:t>
      </w:r>
      <w:proofErr w:type="spellStart"/>
      <w:r w:rsidRPr="001E357C">
        <w:rPr>
          <w:rFonts w:ascii="Times New Roman" w:hAnsi="Times New Roman" w:cs="Times New Roman"/>
        </w:rPr>
        <w:t>proposed</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framework</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to</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cultivate</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critical</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thinking</w:t>
      </w:r>
      <w:proofErr w:type="spellEnd"/>
      <w:r w:rsidRPr="001E357C">
        <w:rPr>
          <w:rFonts w:ascii="Times New Roman" w:hAnsi="Times New Roman" w:cs="Times New Roman"/>
        </w:rPr>
        <w:t xml:space="preserve"> in </w:t>
      </w:r>
      <w:proofErr w:type="spellStart"/>
      <w:r w:rsidRPr="001E357C">
        <w:rPr>
          <w:rFonts w:ascii="Times New Roman" w:hAnsi="Times New Roman" w:cs="Times New Roman"/>
        </w:rPr>
        <w:t>higher</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education</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using</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rPr>
        <w:t>ChatGPT</w:t>
      </w:r>
      <w:proofErr w:type="spellEnd"/>
      <w:r w:rsidRPr="001E357C">
        <w:rPr>
          <w:rFonts w:ascii="Times New Roman" w:hAnsi="Times New Roman" w:cs="Times New Roman"/>
        </w:rPr>
        <w:t xml:space="preserve">. </w:t>
      </w:r>
      <w:proofErr w:type="spellStart"/>
      <w:r w:rsidRPr="001E357C">
        <w:rPr>
          <w:rFonts w:ascii="Times New Roman" w:hAnsi="Times New Roman" w:cs="Times New Roman"/>
          <w:i/>
          <w:iCs/>
        </w:rPr>
        <w:t>Journal</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of</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Propulsion</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Technology</w:t>
      </w:r>
      <w:proofErr w:type="spellEnd"/>
      <w:r w:rsidRPr="001E357C">
        <w:rPr>
          <w:rFonts w:ascii="Times New Roman" w:hAnsi="Times New Roman" w:cs="Times New Roman"/>
        </w:rPr>
        <w:t xml:space="preserve">. </w:t>
      </w:r>
      <w:hyperlink r:id="rId24" w:tgtFrame="_new" w:history="1">
        <w:r w:rsidRPr="001E357C">
          <w:rPr>
            <w:rStyle w:val="Hipervnculo"/>
            <w:rFonts w:ascii="Times New Roman" w:hAnsi="Times New Roman" w:cs="Times New Roman"/>
            <w:color w:val="auto"/>
          </w:rPr>
          <w:t>https://www.researchgate.net/publication/377931524</w:t>
        </w:r>
      </w:hyperlink>
    </w:p>
    <w:p w14:paraId="728273C4"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u w:val="single"/>
        </w:rPr>
      </w:pPr>
      <w:proofErr w:type="spellStart"/>
      <w:r w:rsidRPr="001E357C">
        <w:rPr>
          <w:rFonts w:ascii="Times New Roman" w:hAnsi="Times New Roman" w:cs="Times New Roman"/>
        </w:rPr>
        <w:t>Walczak</w:t>
      </w:r>
      <w:proofErr w:type="spellEnd"/>
      <w:r w:rsidRPr="001E357C">
        <w:rPr>
          <w:rFonts w:ascii="Times New Roman" w:hAnsi="Times New Roman" w:cs="Times New Roman"/>
        </w:rPr>
        <w:t xml:space="preserve">, K., &amp; </w:t>
      </w:r>
      <w:proofErr w:type="spellStart"/>
      <w:r w:rsidRPr="001E357C">
        <w:rPr>
          <w:rFonts w:ascii="Times New Roman" w:hAnsi="Times New Roman" w:cs="Times New Roman"/>
        </w:rPr>
        <w:t>Cellary</w:t>
      </w:r>
      <w:proofErr w:type="spellEnd"/>
      <w:r w:rsidRPr="001E357C">
        <w:rPr>
          <w:rFonts w:ascii="Times New Roman" w:hAnsi="Times New Roman" w:cs="Times New Roman"/>
        </w:rPr>
        <w:t xml:space="preserve">, W. (2023). </w:t>
      </w:r>
      <w:proofErr w:type="spellStart"/>
      <w:r w:rsidRPr="001E357C">
        <w:rPr>
          <w:rFonts w:ascii="Times New Roman" w:hAnsi="Times New Roman" w:cs="Times New Roman"/>
          <w:i/>
          <w:iCs/>
        </w:rPr>
        <w:t>Challenges</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for</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higher</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education</w:t>
      </w:r>
      <w:proofErr w:type="spellEnd"/>
      <w:r w:rsidRPr="001E357C">
        <w:rPr>
          <w:rFonts w:ascii="Times New Roman" w:hAnsi="Times New Roman" w:cs="Times New Roman"/>
          <w:i/>
          <w:iCs/>
        </w:rPr>
        <w:t xml:space="preserve"> in </w:t>
      </w:r>
      <w:proofErr w:type="spellStart"/>
      <w:r w:rsidRPr="001E357C">
        <w:rPr>
          <w:rFonts w:ascii="Times New Roman" w:hAnsi="Times New Roman" w:cs="Times New Roman"/>
          <w:i/>
          <w:iCs/>
        </w:rPr>
        <w:t>the</w:t>
      </w:r>
      <w:proofErr w:type="spellEnd"/>
      <w:r w:rsidRPr="001E357C">
        <w:rPr>
          <w:rFonts w:ascii="Times New Roman" w:hAnsi="Times New Roman" w:cs="Times New Roman"/>
          <w:i/>
          <w:iCs/>
        </w:rPr>
        <w:t xml:space="preserve"> era </w:t>
      </w:r>
      <w:proofErr w:type="spellStart"/>
      <w:r w:rsidRPr="001E357C">
        <w:rPr>
          <w:rFonts w:ascii="Times New Roman" w:hAnsi="Times New Roman" w:cs="Times New Roman"/>
          <w:i/>
          <w:iCs/>
        </w:rPr>
        <w:t>of</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widespread</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access</w:t>
      </w:r>
      <w:proofErr w:type="spellEnd"/>
      <w:r w:rsidRPr="001E357C">
        <w:rPr>
          <w:rFonts w:ascii="Times New Roman" w:hAnsi="Times New Roman" w:cs="Times New Roman"/>
          <w:i/>
          <w:iCs/>
        </w:rPr>
        <w:t xml:space="preserve"> </w:t>
      </w:r>
      <w:proofErr w:type="spellStart"/>
      <w:r w:rsidRPr="001E357C">
        <w:rPr>
          <w:rFonts w:ascii="Times New Roman" w:hAnsi="Times New Roman" w:cs="Times New Roman"/>
          <w:i/>
          <w:iCs/>
        </w:rPr>
        <w:t>to</w:t>
      </w:r>
      <w:proofErr w:type="spellEnd"/>
      <w:r w:rsidRPr="001E357C">
        <w:rPr>
          <w:rFonts w:ascii="Times New Roman" w:hAnsi="Times New Roman" w:cs="Times New Roman"/>
          <w:i/>
          <w:iCs/>
        </w:rPr>
        <w:t xml:space="preserve"> Generative AI</w:t>
      </w:r>
      <w:r w:rsidRPr="001E357C">
        <w:rPr>
          <w:rFonts w:ascii="Times New Roman" w:hAnsi="Times New Roman" w:cs="Times New Roman"/>
        </w:rPr>
        <w:t xml:space="preserve">. </w:t>
      </w:r>
      <w:proofErr w:type="spellStart"/>
      <w:r w:rsidRPr="001E357C">
        <w:rPr>
          <w:rFonts w:ascii="Times New Roman" w:hAnsi="Times New Roman" w:cs="Times New Roman"/>
          <w:i/>
          <w:iCs/>
        </w:rPr>
        <w:t>Economics</w:t>
      </w:r>
      <w:proofErr w:type="spellEnd"/>
      <w:r w:rsidRPr="001E357C">
        <w:rPr>
          <w:rFonts w:ascii="Times New Roman" w:hAnsi="Times New Roman" w:cs="Times New Roman"/>
          <w:i/>
          <w:iCs/>
        </w:rPr>
        <w:t xml:space="preserve"> and Business </w:t>
      </w:r>
      <w:proofErr w:type="spellStart"/>
      <w:r w:rsidRPr="001E357C">
        <w:rPr>
          <w:rFonts w:ascii="Times New Roman" w:hAnsi="Times New Roman" w:cs="Times New Roman"/>
          <w:i/>
          <w:iCs/>
        </w:rPr>
        <w:t>Review</w:t>
      </w:r>
      <w:proofErr w:type="spellEnd"/>
      <w:r w:rsidRPr="001E357C">
        <w:rPr>
          <w:rFonts w:ascii="Times New Roman" w:hAnsi="Times New Roman" w:cs="Times New Roman"/>
          <w:i/>
          <w:iCs/>
        </w:rPr>
        <w:t>, 9</w:t>
      </w:r>
      <w:r w:rsidRPr="001E357C">
        <w:rPr>
          <w:rFonts w:ascii="Times New Roman" w:hAnsi="Times New Roman" w:cs="Times New Roman"/>
        </w:rPr>
        <w:t xml:space="preserve">(2), 71–100. </w:t>
      </w:r>
      <w:hyperlink r:id="rId25" w:history="1">
        <w:r w:rsidRPr="001E357C">
          <w:rPr>
            <w:rStyle w:val="Hipervnculo"/>
            <w:rFonts w:ascii="Times New Roman" w:hAnsi="Times New Roman" w:cs="Times New Roman"/>
            <w:color w:val="auto"/>
          </w:rPr>
          <w:t>https://doi.org/10.18559/ebr.2023.2.743</w:t>
        </w:r>
      </w:hyperlink>
    </w:p>
    <w:p w14:paraId="11A014E1"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454DAAB8" w14:textId="77777777" w:rsidR="00AF5455" w:rsidRPr="001E357C" w:rsidRDefault="00AF5455" w:rsidP="00033F0A">
      <w:pPr>
        <w:tabs>
          <w:tab w:val="left" w:pos="6330"/>
        </w:tabs>
        <w:spacing w:after="0" w:line="240" w:lineRule="auto"/>
        <w:ind w:left="851" w:hanging="851"/>
        <w:jc w:val="both"/>
        <w:rPr>
          <w:rFonts w:ascii="Times New Roman" w:hAnsi="Times New Roman" w:cs="Times New Roman"/>
        </w:rPr>
      </w:pPr>
    </w:p>
    <w:p w14:paraId="4F9B2A69" w14:textId="77777777" w:rsidR="00AF5455" w:rsidRPr="001E357C" w:rsidRDefault="00AF5455" w:rsidP="003E5A64">
      <w:pPr>
        <w:tabs>
          <w:tab w:val="left" w:pos="6330"/>
        </w:tabs>
        <w:spacing w:after="0" w:line="240" w:lineRule="auto"/>
        <w:jc w:val="both"/>
        <w:rPr>
          <w:rFonts w:ascii="Times New Roman" w:hAnsi="Times New Roman" w:cs="Times New Roman"/>
        </w:rPr>
      </w:pPr>
    </w:p>
    <w:p w14:paraId="0EB6E89F" w14:textId="77777777" w:rsidR="00AF5455" w:rsidRPr="001E357C" w:rsidRDefault="00AF5455" w:rsidP="003E5A64">
      <w:pPr>
        <w:tabs>
          <w:tab w:val="left" w:pos="6330"/>
        </w:tabs>
        <w:spacing w:after="0" w:line="240" w:lineRule="auto"/>
        <w:jc w:val="both"/>
        <w:rPr>
          <w:rFonts w:ascii="Times New Roman" w:hAnsi="Times New Roman" w:cs="Times New Roman"/>
        </w:rPr>
      </w:pPr>
    </w:p>
    <w:p w14:paraId="1A06D383" w14:textId="77777777" w:rsidR="00AF5455" w:rsidRPr="001E357C" w:rsidRDefault="00AF5455" w:rsidP="003E5A64">
      <w:pPr>
        <w:tabs>
          <w:tab w:val="left" w:pos="6330"/>
        </w:tabs>
        <w:spacing w:after="0" w:line="240" w:lineRule="auto"/>
        <w:jc w:val="both"/>
        <w:rPr>
          <w:rFonts w:ascii="Times New Roman" w:hAnsi="Times New Roman" w:cs="Times New Roman"/>
        </w:rPr>
      </w:pPr>
    </w:p>
    <w:p w14:paraId="73429AF8" w14:textId="7B03FAA0" w:rsidR="00AD3F4C" w:rsidRPr="001E357C" w:rsidRDefault="00AD3F4C" w:rsidP="003E5A64">
      <w:pPr>
        <w:tabs>
          <w:tab w:val="left" w:pos="6330"/>
        </w:tabs>
        <w:spacing w:after="0" w:line="240" w:lineRule="auto"/>
        <w:jc w:val="both"/>
        <w:rPr>
          <w:rFonts w:ascii="Times New Roman" w:hAnsi="Times New Roman" w:cs="Times New Roman"/>
        </w:rPr>
      </w:pPr>
    </w:p>
    <w:sectPr w:rsidR="00AD3F4C" w:rsidRPr="001E357C" w:rsidSect="001E357C">
      <w:footerReference w:type="default" r:id="rId26"/>
      <w:pgSz w:w="12240" w:h="15840"/>
      <w:pgMar w:top="1417" w:right="1183" w:bottom="1417" w:left="1276"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BED3" w14:textId="77777777" w:rsidR="00ED67CC" w:rsidRDefault="00ED67CC" w:rsidP="00AD3F4C">
      <w:pPr>
        <w:spacing w:after="0" w:line="240" w:lineRule="auto"/>
      </w:pPr>
      <w:r>
        <w:separator/>
      </w:r>
    </w:p>
  </w:endnote>
  <w:endnote w:type="continuationSeparator" w:id="0">
    <w:p w14:paraId="50B77523" w14:textId="77777777" w:rsidR="00ED67CC" w:rsidRDefault="00ED67CC"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0F471140"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w:t>
    </w:r>
    <w:r w:rsidR="002366CC">
      <w:rPr>
        <w:rFonts w:cstheme="minorHAnsi"/>
        <w:b/>
      </w:rPr>
      <w:t>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1025" w14:textId="77777777" w:rsidR="00ED67CC" w:rsidRDefault="00ED67CC" w:rsidP="00AD3F4C">
      <w:pPr>
        <w:spacing w:after="0" w:line="240" w:lineRule="auto"/>
      </w:pPr>
      <w:r>
        <w:separator/>
      </w:r>
    </w:p>
  </w:footnote>
  <w:footnote w:type="continuationSeparator" w:id="0">
    <w:p w14:paraId="6DCE8D0C" w14:textId="77777777" w:rsidR="00ED67CC" w:rsidRDefault="00ED67CC" w:rsidP="00AD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E79"/>
    <w:multiLevelType w:val="hybridMultilevel"/>
    <w:tmpl w:val="73C6CB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96666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33F0A"/>
    <w:rsid w:val="00043DE0"/>
    <w:rsid w:val="00084408"/>
    <w:rsid w:val="00134351"/>
    <w:rsid w:val="00194793"/>
    <w:rsid w:val="001A3A24"/>
    <w:rsid w:val="001E357C"/>
    <w:rsid w:val="002366CC"/>
    <w:rsid w:val="00284765"/>
    <w:rsid w:val="00326F3B"/>
    <w:rsid w:val="00361A4E"/>
    <w:rsid w:val="003E5A64"/>
    <w:rsid w:val="00402192"/>
    <w:rsid w:val="004763E9"/>
    <w:rsid w:val="00557262"/>
    <w:rsid w:val="00567ED5"/>
    <w:rsid w:val="005E6E08"/>
    <w:rsid w:val="0064338F"/>
    <w:rsid w:val="00753C17"/>
    <w:rsid w:val="007C4380"/>
    <w:rsid w:val="007C7B0C"/>
    <w:rsid w:val="008901AD"/>
    <w:rsid w:val="00960259"/>
    <w:rsid w:val="00993450"/>
    <w:rsid w:val="00A72248"/>
    <w:rsid w:val="00A724B0"/>
    <w:rsid w:val="00A95075"/>
    <w:rsid w:val="00AD3F4C"/>
    <w:rsid w:val="00AF5455"/>
    <w:rsid w:val="00B40C40"/>
    <w:rsid w:val="00B555B4"/>
    <w:rsid w:val="00CD496E"/>
    <w:rsid w:val="00D963D2"/>
    <w:rsid w:val="00DF7DA2"/>
    <w:rsid w:val="00E847D1"/>
    <w:rsid w:val="00ED67CC"/>
    <w:rsid w:val="00F07A3E"/>
    <w:rsid w:val="00F66BAC"/>
    <w:rsid w:val="00FA21DB"/>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table" w:styleId="Tablaconcuadrcula">
    <w:name w:val="Table Grid"/>
    <w:basedOn w:val="Tablanormal"/>
    <w:uiPriority w:val="39"/>
    <w:rsid w:val="00AF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5455"/>
    <w:rPr>
      <w:color w:val="0563C1" w:themeColor="hyperlink"/>
      <w:u w:val="single"/>
    </w:rPr>
  </w:style>
  <w:style w:type="character" w:styleId="Mencinsinresolver">
    <w:name w:val="Unresolved Mention"/>
    <w:basedOn w:val="Fuentedeprrafopredeter"/>
    <w:uiPriority w:val="99"/>
    <w:semiHidden/>
    <w:unhideWhenUsed/>
    <w:rsid w:val="00AF5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8187">
      <w:bodyDiv w:val="1"/>
      <w:marLeft w:val="0"/>
      <w:marRight w:val="0"/>
      <w:marTop w:val="0"/>
      <w:marBottom w:val="0"/>
      <w:divBdr>
        <w:top w:val="none" w:sz="0" w:space="0" w:color="auto"/>
        <w:left w:val="none" w:sz="0" w:space="0" w:color="auto"/>
        <w:bottom w:val="none" w:sz="0" w:space="0" w:color="auto"/>
        <w:right w:val="none" w:sz="0" w:space="0" w:color="auto"/>
      </w:divBdr>
    </w:div>
    <w:div w:id="671838212">
      <w:bodyDiv w:val="1"/>
      <w:marLeft w:val="0"/>
      <w:marRight w:val="0"/>
      <w:marTop w:val="0"/>
      <w:marBottom w:val="0"/>
      <w:divBdr>
        <w:top w:val="none" w:sz="0" w:space="0" w:color="auto"/>
        <w:left w:val="none" w:sz="0" w:space="0" w:color="auto"/>
        <w:bottom w:val="none" w:sz="0" w:space="0" w:color="auto"/>
        <w:right w:val="none" w:sz="0" w:space="0" w:color="auto"/>
      </w:divBdr>
    </w:div>
    <w:div w:id="709841648">
      <w:bodyDiv w:val="1"/>
      <w:marLeft w:val="0"/>
      <w:marRight w:val="0"/>
      <w:marTop w:val="0"/>
      <w:marBottom w:val="0"/>
      <w:divBdr>
        <w:top w:val="none" w:sz="0" w:space="0" w:color="auto"/>
        <w:left w:val="none" w:sz="0" w:space="0" w:color="auto"/>
        <w:bottom w:val="none" w:sz="0" w:space="0" w:color="auto"/>
        <w:right w:val="none" w:sz="0" w:space="0" w:color="auto"/>
      </w:divBdr>
    </w:div>
    <w:div w:id="15936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5247-9523" TargetMode="External"/><Relationship Id="rId13" Type="http://schemas.openxmlformats.org/officeDocument/2006/relationships/hyperlink" Target="https://doi.org/10.7334/psicothema2016.304" TargetMode="External"/><Relationship Id="rId18" Type="http://schemas.openxmlformats.org/officeDocument/2006/relationships/hyperlink" Target="https://doi.org/10.6018/analesps.30.3.19936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dalyc.org/pdf/806/80634409.pdf" TargetMode="External"/><Relationship Id="rId7" Type="http://schemas.openxmlformats.org/officeDocument/2006/relationships/image" Target="media/image1.png"/><Relationship Id="rId12" Type="http://schemas.openxmlformats.org/officeDocument/2006/relationships/hyperlink" Target="https://www.redalyc.org/articulo.oa?id=77812441003" TargetMode="External"/><Relationship Id="rId17" Type="http://schemas.openxmlformats.org/officeDocument/2006/relationships/hyperlink" Target="https://doi.org/10.29333/iejme/14614" TargetMode="External"/><Relationship Id="rId25" Type="http://schemas.openxmlformats.org/officeDocument/2006/relationships/hyperlink" Target="https://doi.org/10.18559/ebr.2023.2.743" TargetMode="External"/><Relationship Id="rId2" Type="http://schemas.openxmlformats.org/officeDocument/2006/relationships/styles" Target="styles.xml"/><Relationship Id="rId16" Type="http://schemas.openxmlformats.org/officeDocument/2006/relationships/hyperlink" Target="https://doi.org/10.5944/ried.27.1.37716" TargetMode="External"/><Relationship Id="rId20" Type="http://schemas.openxmlformats.org/officeDocument/2006/relationships/hyperlink" Target="https://doi.org/10.22521/edupij.2024.13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51303244" TargetMode="External"/><Relationship Id="rId24" Type="http://schemas.openxmlformats.org/officeDocument/2006/relationships/hyperlink" Target="https://www.researchgate.net/publication/377931524" TargetMode="External"/><Relationship Id="rId5" Type="http://schemas.openxmlformats.org/officeDocument/2006/relationships/footnotes" Target="footnotes.xml"/><Relationship Id="rId15" Type="http://schemas.openxmlformats.org/officeDocument/2006/relationships/hyperlink" Target="https://doi.org/10.30827/relieve.v29i2.29134" TargetMode="External"/><Relationship Id="rId23" Type="http://schemas.openxmlformats.org/officeDocument/2006/relationships/hyperlink" Target="https://doi.org/10.3390/su16135367" TargetMode="External"/><Relationship Id="rId28" Type="http://schemas.openxmlformats.org/officeDocument/2006/relationships/theme" Target="theme/theme1.xml"/><Relationship Id="rId10" Type="http://schemas.openxmlformats.org/officeDocument/2006/relationships/hyperlink" Target="https://doi.org/10.22329/il.v18i2.2378" TargetMode="External"/><Relationship Id="rId19" Type="http://schemas.openxmlformats.org/officeDocument/2006/relationships/hyperlink" Target="https://doi.org/10.7334/psicothema2018.153" TargetMode="External"/><Relationship Id="rId4" Type="http://schemas.openxmlformats.org/officeDocument/2006/relationships/webSettings" Target="webSettings.xml"/><Relationship Id="rId9" Type="http://schemas.openxmlformats.org/officeDocument/2006/relationships/hyperlink" Target="https://doi.org/10.56712/latam.v5i6.3019" TargetMode="External"/><Relationship Id="rId14" Type="http://schemas.openxmlformats.org/officeDocument/2006/relationships/hyperlink" Target="https://doi.org/10.1093/acprof:oso/9780199641321.001.0001" TargetMode="External"/><Relationship Id="rId22" Type="http://schemas.openxmlformats.org/officeDocument/2006/relationships/hyperlink" Target="https://doi.org/10.26422/aucom.2024.1301.rio"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6457</Words>
  <Characters>35515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11</cp:revision>
  <dcterms:created xsi:type="dcterms:W3CDTF">2025-07-01T12:25:00Z</dcterms:created>
  <dcterms:modified xsi:type="dcterms:W3CDTF">2025-07-02T15:15:00Z</dcterms:modified>
</cp:coreProperties>
</file>