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D973" w14:textId="6A85604F" w:rsidR="00FB3F3A" w:rsidRPr="00AA2F95" w:rsidRDefault="00043DE0" w:rsidP="00AA2F95">
      <w:pPr>
        <w:spacing w:after="0" w:line="240" w:lineRule="auto"/>
        <w:jc w:val="both"/>
        <w:rPr>
          <w:rFonts w:ascii="Times New Roman" w:hAnsi="Times New Roman" w:cs="Times New Roman"/>
        </w:rPr>
      </w:pPr>
      <w:r w:rsidRPr="00AA2F95">
        <w:rPr>
          <w:rFonts w:ascii="Times New Roman" w:hAnsi="Times New Roman" w:cs="Times New Roman"/>
          <w:noProof/>
        </w:rPr>
        <w:drawing>
          <wp:anchor distT="0" distB="0" distL="114300" distR="114300" simplePos="0" relativeHeight="251659264" behindDoc="0" locked="0" layoutInCell="1" allowOverlap="1" wp14:anchorId="19CCA36C" wp14:editId="0409B8E3">
            <wp:simplePos x="0" y="0"/>
            <wp:positionH relativeFrom="page">
              <wp:align>left</wp:align>
            </wp:positionH>
            <wp:positionV relativeFrom="paragraph">
              <wp:posOffset>-690245</wp:posOffset>
            </wp:positionV>
            <wp:extent cx="7772400" cy="1047750"/>
            <wp:effectExtent l="0" t="0" r="0" b="0"/>
            <wp:wrapNone/>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240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C9A9F" w14:textId="77777777" w:rsidR="00AD3F4C" w:rsidRPr="00AA2F95" w:rsidRDefault="00AD3F4C" w:rsidP="00AA2F95">
      <w:pPr>
        <w:spacing w:after="0" w:line="240" w:lineRule="auto"/>
        <w:jc w:val="both"/>
        <w:rPr>
          <w:rFonts w:ascii="Times New Roman" w:hAnsi="Times New Roman" w:cs="Times New Roman"/>
        </w:rPr>
      </w:pPr>
    </w:p>
    <w:p w14:paraId="5B9AACF4" w14:textId="77777777" w:rsidR="00AA2F95" w:rsidRDefault="00AD3F4C" w:rsidP="00AA2F95">
      <w:pPr>
        <w:spacing w:after="0" w:line="240" w:lineRule="auto"/>
        <w:jc w:val="both"/>
        <w:rPr>
          <w:rFonts w:ascii="Times New Roman" w:hAnsi="Times New Roman" w:cs="Times New Roman"/>
        </w:rPr>
      </w:pPr>
      <w:r w:rsidRPr="00AA2F95">
        <w:rPr>
          <w:rFonts w:ascii="Times New Roman" w:hAnsi="Times New Roman" w:cs="Times New Roman"/>
        </w:rPr>
        <w:tab/>
      </w:r>
    </w:p>
    <w:p w14:paraId="455DF5C9" w14:textId="77777777" w:rsidR="00AA2F95" w:rsidRDefault="00AA2F95" w:rsidP="00AA2F95">
      <w:pPr>
        <w:spacing w:after="0" w:line="240" w:lineRule="auto"/>
        <w:jc w:val="both"/>
        <w:rPr>
          <w:rFonts w:ascii="Times New Roman" w:hAnsi="Times New Roman" w:cs="Times New Roman"/>
        </w:rPr>
      </w:pPr>
    </w:p>
    <w:p w14:paraId="7E14B22A" w14:textId="57E9F4B7" w:rsidR="00AD3F4C" w:rsidRPr="00AA2F95" w:rsidRDefault="00AD3F4C" w:rsidP="00AA2F95">
      <w:pPr>
        <w:spacing w:after="0" w:line="240" w:lineRule="auto"/>
        <w:jc w:val="right"/>
        <w:rPr>
          <w:rFonts w:ascii="Times New Roman" w:eastAsia="Times New Roman" w:hAnsi="Times New Roman" w:cs="Times New Roman"/>
          <w:b/>
        </w:rPr>
      </w:pPr>
      <w:r w:rsidRPr="00AA2F95">
        <w:rPr>
          <w:rFonts w:ascii="Times New Roman" w:hAnsi="Times New Roman" w:cs="Times New Roman"/>
          <w:b/>
          <w:bCs/>
          <w:i/>
          <w:iCs/>
        </w:rPr>
        <w:t>Artículos científicos</w:t>
      </w:r>
    </w:p>
    <w:p w14:paraId="16590033" w14:textId="77777777" w:rsid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b/>
        </w:rPr>
      </w:pPr>
    </w:p>
    <w:p w14:paraId="37846E7C" w14:textId="77777777" w:rsid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b/>
        </w:rPr>
      </w:pPr>
    </w:p>
    <w:p w14:paraId="0C693DCC" w14:textId="77777777" w:rsid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b/>
        </w:rPr>
      </w:pPr>
    </w:p>
    <w:p w14:paraId="6A90ABEC" w14:textId="6E8F597F" w:rsidR="003855A1" w:rsidRPr="00AA2F95" w:rsidRDefault="003855A1" w:rsidP="00AA2F95">
      <w:pPr>
        <w:pBdr>
          <w:top w:val="nil"/>
          <w:left w:val="nil"/>
          <w:bottom w:val="nil"/>
          <w:right w:val="nil"/>
          <w:between w:val="nil"/>
        </w:pBdr>
        <w:spacing w:after="0" w:line="240" w:lineRule="auto"/>
        <w:jc w:val="both"/>
        <w:rPr>
          <w:rFonts w:ascii="Times New Roman" w:eastAsia="Arial" w:hAnsi="Times New Roman" w:cs="Times New Roman"/>
          <w:b/>
          <w:sz w:val="28"/>
          <w:szCs w:val="28"/>
        </w:rPr>
      </w:pPr>
      <w:r w:rsidRPr="00AA2F95">
        <w:rPr>
          <w:rFonts w:ascii="Times New Roman" w:eastAsia="Arial" w:hAnsi="Times New Roman" w:cs="Times New Roman"/>
          <w:b/>
          <w:sz w:val="28"/>
          <w:szCs w:val="28"/>
        </w:rPr>
        <w:t>Análisis de viabilidad para la integración de realidad virtual en el Museo Universitario Fernando del Paso</w:t>
      </w:r>
    </w:p>
    <w:p w14:paraId="4B20609D" w14:textId="77777777" w:rsidR="003855A1" w:rsidRPr="00AA2F95" w:rsidRDefault="003855A1" w:rsidP="00AA2F95">
      <w:pPr>
        <w:pBdr>
          <w:top w:val="nil"/>
          <w:left w:val="nil"/>
          <w:bottom w:val="nil"/>
          <w:right w:val="nil"/>
          <w:between w:val="nil"/>
        </w:pBdr>
        <w:spacing w:after="0" w:line="240" w:lineRule="auto"/>
        <w:jc w:val="both"/>
        <w:rPr>
          <w:rFonts w:ascii="Times New Roman" w:eastAsia="Arial" w:hAnsi="Times New Roman" w:cs="Times New Roman"/>
          <w:bCs/>
          <w:i/>
          <w:iCs/>
          <w:lang w:val="en-US"/>
        </w:rPr>
      </w:pPr>
      <w:r w:rsidRPr="00AA2F95">
        <w:rPr>
          <w:rFonts w:ascii="Times New Roman" w:eastAsia="Arial" w:hAnsi="Times New Roman" w:cs="Times New Roman"/>
          <w:bCs/>
          <w:i/>
          <w:iCs/>
          <w:lang w:val="en-US"/>
        </w:rPr>
        <w:t>Feasibility analysis for the integration of virtual reality in the Fernando del Paso University Museum</w:t>
      </w:r>
    </w:p>
    <w:p w14:paraId="342745BF" w14:textId="77777777" w:rsidR="003855A1" w:rsidRDefault="003855A1" w:rsidP="00AA2F95">
      <w:pPr>
        <w:pBdr>
          <w:top w:val="nil"/>
          <w:left w:val="nil"/>
          <w:bottom w:val="nil"/>
          <w:right w:val="nil"/>
          <w:between w:val="nil"/>
        </w:pBdr>
        <w:spacing w:after="0" w:line="240" w:lineRule="auto"/>
        <w:jc w:val="both"/>
        <w:rPr>
          <w:rFonts w:ascii="Times New Roman" w:eastAsia="Times New Roman" w:hAnsi="Times New Roman" w:cs="Times New Roman"/>
          <w:lang w:val="en-US"/>
        </w:rPr>
      </w:pPr>
    </w:p>
    <w:p w14:paraId="1BF90EEE" w14:textId="77777777" w:rsidR="00AA2F95" w:rsidRPr="00AA2F95" w:rsidRDefault="00AA2F95" w:rsidP="00AA2F95">
      <w:pPr>
        <w:pBdr>
          <w:top w:val="nil"/>
          <w:left w:val="nil"/>
          <w:bottom w:val="nil"/>
          <w:right w:val="nil"/>
          <w:between w:val="nil"/>
        </w:pBdr>
        <w:spacing w:after="0" w:line="240" w:lineRule="auto"/>
        <w:jc w:val="both"/>
        <w:rPr>
          <w:rFonts w:ascii="Times New Roman" w:eastAsia="Times New Roman" w:hAnsi="Times New Roman" w:cs="Times New Roman"/>
          <w:lang w:val="en-US"/>
        </w:rPr>
      </w:pPr>
    </w:p>
    <w:p w14:paraId="4EF01D39" w14:textId="77777777" w:rsidR="00AA2F95" w:rsidRPr="00AA2F95" w:rsidRDefault="00AA2F95" w:rsidP="00AA2F95">
      <w:pPr>
        <w:pBdr>
          <w:top w:val="nil"/>
          <w:left w:val="nil"/>
          <w:bottom w:val="nil"/>
          <w:right w:val="nil"/>
          <w:between w:val="nil"/>
        </w:pBdr>
        <w:spacing w:after="0" w:line="240" w:lineRule="auto"/>
        <w:jc w:val="right"/>
        <w:rPr>
          <w:rFonts w:ascii="Times New Roman" w:eastAsia="Arial" w:hAnsi="Times New Roman" w:cs="Times New Roman"/>
          <w:b/>
          <w:bCs/>
        </w:rPr>
      </w:pPr>
      <w:r w:rsidRPr="00AA2F95">
        <w:rPr>
          <w:rFonts w:ascii="Times New Roman" w:eastAsia="Arial" w:hAnsi="Times New Roman" w:cs="Times New Roman"/>
          <w:b/>
          <w:bCs/>
        </w:rPr>
        <w:t>Kasia Eugenia</w:t>
      </w:r>
      <w:r w:rsidR="003855A1" w:rsidRPr="00AA2F95">
        <w:rPr>
          <w:rFonts w:ascii="Times New Roman" w:eastAsia="Times New Roman" w:hAnsi="Times New Roman" w:cs="Times New Roman"/>
          <w:b/>
          <w:bCs/>
          <w:lang w:val="en-US"/>
        </w:rPr>
        <w:t xml:space="preserve"> </w:t>
      </w:r>
      <w:r w:rsidR="003855A1" w:rsidRPr="00AA2F95">
        <w:rPr>
          <w:rFonts w:ascii="Times New Roman" w:eastAsia="Arial" w:hAnsi="Times New Roman" w:cs="Times New Roman"/>
          <w:b/>
          <w:bCs/>
        </w:rPr>
        <w:t>Gámez Naranjo</w:t>
      </w:r>
    </w:p>
    <w:p w14:paraId="28103212" w14:textId="77777777" w:rsidR="00AA2F95" w:rsidRDefault="003855A1" w:rsidP="00AA2F95">
      <w:pPr>
        <w:pBdr>
          <w:top w:val="nil"/>
          <w:left w:val="nil"/>
          <w:bottom w:val="nil"/>
          <w:right w:val="nil"/>
          <w:between w:val="nil"/>
        </w:pBdr>
        <w:spacing w:after="0" w:line="240" w:lineRule="auto"/>
        <w:jc w:val="right"/>
        <w:rPr>
          <w:rFonts w:ascii="Times New Roman" w:eastAsia="Arial" w:hAnsi="Times New Roman" w:cs="Times New Roman"/>
        </w:rPr>
      </w:pPr>
      <w:r w:rsidRPr="00AA2F95">
        <w:rPr>
          <w:rFonts w:ascii="Times New Roman" w:eastAsia="Arial" w:hAnsi="Times New Roman" w:cs="Times New Roman"/>
        </w:rPr>
        <w:t>Universidad de Colima</w:t>
      </w:r>
    </w:p>
    <w:p w14:paraId="61AB7AA4" w14:textId="52DDF516" w:rsidR="003855A1" w:rsidRPr="00AA2F95" w:rsidRDefault="003855A1" w:rsidP="00AA2F95">
      <w:pPr>
        <w:pBdr>
          <w:top w:val="nil"/>
          <w:left w:val="nil"/>
          <w:bottom w:val="nil"/>
          <w:right w:val="nil"/>
          <w:between w:val="nil"/>
        </w:pBdr>
        <w:spacing w:after="0" w:line="240" w:lineRule="auto"/>
        <w:jc w:val="right"/>
        <w:rPr>
          <w:rFonts w:ascii="Times New Roman" w:eastAsia="Arial" w:hAnsi="Times New Roman" w:cs="Times New Roman"/>
          <w:color w:val="EE0000"/>
        </w:rPr>
      </w:pPr>
      <w:hyperlink r:id="rId7">
        <w:r w:rsidRPr="00AA2F95">
          <w:rPr>
            <w:rFonts w:ascii="Times New Roman" w:eastAsia="Arial" w:hAnsi="Times New Roman" w:cs="Times New Roman"/>
            <w:color w:val="EE0000"/>
          </w:rPr>
          <w:t>kasiaeugenia_gamez@ucol.mx</w:t>
        </w:r>
      </w:hyperlink>
    </w:p>
    <w:p w14:paraId="765B56B5" w14:textId="77777777" w:rsidR="00AA2F95" w:rsidRDefault="00AA2F95" w:rsidP="00AA2F95">
      <w:pPr>
        <w:pBdr>
          <w:top w:val="nil"/>
          <w:left w:val="nil"/>
          <w:bottom w:val="nil"/>
          <w:right w:val="nil"/>
          <w:between w:val="nil"/>
        </w:pBdr>
        <w:spacing w:after="0" w:line="240" w:lineRule="auto"/>
        <w:jc w:val="right"/>
        <w:rPr>
          <w:rFonts w:ascii="Times New Roman" w:eastAsia="Arial" w:hAnsi="Times New Roman" w:cs="Times New Roman"/>
        </w:rPr>
      </w:pPr>
    </w:p>
    <w:p w14:paraId="7C9F45CB" w14:textId="552C8F2D" w:rsidR="00AA2F95" w:rsidRPr="00AA2F95" w:rsidRDefault="00AA2F95" w:rsidP="00AA2F95">
      <w:pPr>
        <w:pBdr>
          <w:top w:val="nil"/>
          <w:left w:val="nil"/>
          <w:bottom w:val="nil"/>
          <w:right w:val="nil"/>
          <w:between w:val="nil"/>
        </w:pBdr>
        <w:spacing w:after="0" w:line="240" w:lineRule="auto"/>
        <w:jc w:val="right"/>
        <w:rPr>
          <w:rFonts w:ascii="Times New Roman" w:eastAsia="Arial" w:hAnsi="Times New Roman" w:cs="Times New Roman"/>
          <w:b/>
          <w:bCs/>
        </w:rPr>
      </w:pPr>
      <w:r w:rsidRPr="00AA2F95">
        <w:rPr>
          <w:rFonts w:ascii="Times New Roman" w:eastAsia="Arial" w:hAnsi="Times New Roman" w:cs="Times New Roman"/>
          <w:b/>
          <w:bCs/>
        </w:rPr>
        <w:t xml:space="preserve">Skary Armando </w:t>
      </w:r>
      <w:r w:rsidR="003855A1" w:rsidRPr="00AA2F95">
        <w:rPr>
          <w:rFonts w:ascii="Times New Roman" w:eastAsia="Arial" w:hAnsi="Times New Roman" w:cs="Times New Roman"/>
          <w:b/>
          <w:bCs/>
        </w:rPr>
        <w:t>López Osuna</w:t>
      </w:r>
    </w:p>
    <w:p w14:paraId="62377FC6" w14:textId="20E3AD47" w:rsidR="00AA2F95" w:rsidRDefault="00AA2F95" w:rsidP="00AA2F95">
      <w:pPr>
        <w:pBdr>
          <w:top w:val="nil"/>
          <w:left w:val="nil"/>
          <w:bottom w:val="nil"/>
          <w:right w:val="nil"/>
          <w:between w:val="nil"/>
        </w:pBdr>
        <w:spacing w:after="0" w:line="240" w:lineRule="auto"/>
        <w:jc w:val="right"/>
        <w:rPr>
          <w:rFonts w:ascii="Times New Roman" w:eastAsia="Arial" w:hAnsi="Times New Roman" w:cs="Times New Roman"/>
        </w:rPr>
      </w:pPr>
      <w:r w:rsidRPr="007D7D9A">
        <w:rPr>
          <w:rFonts w:ascii="Arial" w:hAnsi="Arial" w:cs="Arial"/>
        </w:rPr>
        <w:t>CEPC</w:t>
      </w:r>
      <w:r w:rsidRPr="00AA2F95">
        <w:rPr>
          <w:rFonts w:ascii="Times New Roman" w:eastAsia="Arial" w:hAnsi="Times New Roman" w:cs="Times New Roman"/>
        </w:rPr>
        <w:t xml:space="preserve"> Universidad </w:t>
      </w:r>
      <w:r>
        <w:rPr>
          <w:rFonts w:ascii="Times New Roman" w:eastAsia="Arial" w:hAnsi="Times New Roman" w:cs="Times New Roman"/>
        </w:rPr>
        <w:t xml:space="preserve"> </w:t>
      </w:r>
    </w:p>
    <w:p w14:paraId="0A8CBFA5" w14:textId="05458079" w:rsidR="003855A1" w:rsidRPr="00AA2F95" w:rsidRDefault="003855A1" w:rsidP="00AA2F95">
      <w:pPr>
        <w:pBdr>
          <w:top w:val="nil"/>
          <w:left w:val="nil"/>
          <w:bottom w:val="nil"/>
          <w:right w:val="nil"/>
          <w:between w:val="nil"/>
        </w:pBdr>
        <w:spacing w:after="0" w:line="240" w:lineRule="auto"/>
        <w:jc w:val="right"/>
        <w:rPr>
          <w:rFonts w:ascii="Times New Roman" w:eastAsia="Arial" w:hAnsi="Times New Roman" w:cs="Times New Roman"/>
        </w:rPr>
      </w:pPr>
      <w:hyperlink r:id="rId8">
        <w:r w:rsidRPr="00AA2F95">
          <w:rPr>
            <w:rFonts w:ascii="Times New Roman" w:eastAsia="Arial" w:hAnsi="Times New Roman" w:cs="Times New Roman"/>
            <w:color w:val="EE0000"/>
          </w:rPr>
          <w:t>skary.lopez@cepc.com.mx</w:t>
        </w:r>
      </w:hyperlink>
    </w:p>
    <w:p w14:paraId="24A8512D" w14:textId="77777777" w:rsid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b/>
        </w:rPr>
      </w:pPr>
    </w:p>
    <w:p w14:paraId="54A0DD27" w14:textId="0244CE3B" w:rsidR="003855A1" w:rsidRDefault="003855A1" w:rsidP="00AA2F95">
      <w:pPr>
        <w:pBdr>
          <w:top w:val="nil"/>
          <w:left w:val="nil"/>
          <w:bottom w:val="nil"/>
          <w:right w:val="nil"/>
          <w:between w:val="nil"/>
        </w:pBdr>
        <w:spacing w:after="0" w:line="240" w:lineRule="auto"/>
        <w:jc w:val="both"/>
        <w:rPr>
          <w:rFonts w:ascii="Times New Roman" w:eastAsia="Arial" w:hAnsi="Times New Roman" w:cs="Times New Roman"/>
          <w:b/>
        </w:rPr>
      </w:pPr>
      <w:r w:rsidRPr="00AA2F95">
        <w:rPr>
          <w:rFonts w:ascii="Times New Roman" w:eastAsia="Arial" w:hAnsi="Times New Roman" w:cs="Times New Roman"/>
          <w:b/>
        </w:rPr>
        <w:t>Resumen</w:t>
      </w:r>
    </w:p>
    <w:p w14:paraId="3A51148F" w14:textId="77777777" w:rsidR="003855A1"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rPr>
        <w:t>La investigación analiza el potencial de la realidad virtual como herramienta de transformación digital en museos universitarios, centrándose en el caso del Museo Universitario Fernando del Paso de la Universidad de Colima. El objetivo fue desarrollar una propuesta estratégica que optimice la experiencia del visitante, ampliar la accesibilidad al patrimonio cultural y contribuir a la sostenibilidad financiera del museo. El artículo se enfoca en la fase diagnóstica del proceso que evalúa la viabilidad del planteamiento que contempla tres componentes clave: digitalización de exposiciones mediante fotogrametría, recorridos virtuales y una plataforma interactiva en línea. Para ello, se realizó un diagnóstico integral a través de una metodología mixta que incluyó análisis documental, encuestas aplicadas a 335 estudiantes, y el Business Model Canvas. Los resultados muestran que el 85 % de los encuestados valora positivamente las experiencias digitales, identificándose como principales barreras la falta de recursos tecnológicos y de accesibilidad. Además, se proyecta aumentar la satisfacción del visitante hasta un 90 % y duplicar el retorno de visitas. Asimismo, se plantea un esquema financiero viable, con Valor actual neto (VAN) de $112,420.38,</w:t>
      </w:r>
      <w:r w:rsidRPr="00AA2F95">
        <w:rPr>
          <w:rFonts w:ascii="Times New Roman" w:eastAsia="Times New Roman" w:hAnsi="Times New Roman" w:cs="Times New Roman"/>
        </w:rPr>
        <w:t xml:space="preserve"> </w:t>
      </w:r>
      <w:r w:rsidRPr="00AA2F95">
        <w:rPr>
          <w:rFonts w:ascii="Times New Roman" w:eastAsia="Arial" w:hAnsi="Times New Roman" w:cs="Times New Roman"/>
        </w:rPr>
        <w:t>Tasa interna de retorno (TIR) del 39.6 % y Retorno sobre la Inversión (ROI) del 18.3 %. Se concluye que la integración de realidad virtual no solo responde a los desafíos actuales del museo, sino que tiene el potencial para posicionarlo como referente de innovación cultural y educativa. Finalmente, se recomienda implementar pilotos para validar el impacto y explorar el uso de otras tecnologías emergentes como la inteligencia artificial y la realidad aumentada.</w:t>
      </w:r>
    </w:p>
    <w:p w14:paraId="13633CD6" w14:textId="77777777" w:rsidR="00AA2F95" w:rsidRP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rPr>
      </w:pPr>
    </w:p>
    <w:p w14:paraId="538E814C" w14:textId="77777777" w:rsidR="003855A1"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b/>
        </w:rPr>
        <w:t>Palabras clave:</w:t>
      </w:r>
      <w:r w:rsidRPr="00AA2F95">
        <w:rPr>
          <w:rFonts w:ascii="Times New Roman" w:eastAsia="Arial" w:hAnsi="Times New Roman" w:cs="Times New Roman"/>
        </w:rPr>
        <w:t xml:space="preserve"> realidad virtual, transformación digital, museos universitarios, accesibilidad, sostenibilidad cultural.</w:t>
      </w:r>
    </w:p>
    <w:p w14:paraId="1D03282A" w14:textId="09766797" w:rsidR="003855A1" w:rsidRDefault="003855A1" w:rsidP="00AA2F95">
      <w:pPr>
        <w:spacing w:after="0" w:line="240" w:lineRule="auto"/>
        <w:jc w:val="both"/>
        <w:rPr>
          <w:rFonts w:ascii="Times New Roman" w:eastAsia="Arial" w:hAnsi="Times New Roman" w:cs="Times New Roman"/>
          <w:lang w:val="en-US"/>
        </w:rPr>
      </w:pPr>
      <w:r w:rsidRPr="00AA2F95">
        <w:rPr>
          <w:rFonts w:ascii="Times New Roman" w:eastAsia="Arial" w:hAnsi="Times New Roman" w:cs="Times New Roman"/>
          <w:b/>
          <w:lang w:val="en-US"/>
        </w:rPr>
        <w:lastRenderedPageBreak/>
        <w:t>Abstract</w:t>
      </w:r>
      <w:r w:rsidRPr="00AA2F95">
        <w:rPr>
          <w:rFonts w:ascii="Times New Roman" w:eastAsia="Arial" w:hAnsi="Times New Roman" w:cs="Times New Roman"/>
          <w:lang w:val="en-US"/>
        </w:rPr>
        <w:br/>
        <w:t>This research analyzes the potential of virtual reality as a tool for digital transformation in university museums, focusing on the case of the Museo Universitario Fernando del Paso at the University of Colima. The aim was to develop a strategic proposal to enhance the visitor experience, expand accessibility to cultural heritage, and contribute to the museum’s financial sustainability. This article focuses specifically on the diagnostic phase of the process, which assesses the feasibility of a proposal composed of three key components: exhibition digitization using photogrammetry, virtual tours, and an interactive online platform. A comprehensive diagnostic was conducted using a mixed-methods approach that included documentary analysis, surveys administered to 335 students, and the Business Model Canvas. Results show that 85% of respondents positively value digital experiences, with the main barriers identified as a lack of technological resources and accessibility. Moreover, projections indicate an increase in visitor satisfaction of up to 90% and a doubling of return visits. The financial model also appears viable, with a Net Present Value (NPV) of $112,420.38, an Internal Rate of Return (IRR) of 39.6%, and a Return on Investment (ROI) of 18.3%. The study concludes that integrating virtual reality not only addresses the museum</w:t>
      </w:r>
      <w:r w:rsidR="00AA2F95">
        <w:rPr>
          <w:rFonts w:ascii="Times New Roman" w:eastAsia="Arial" w:hAnsi="Times New Roman" w:cs="Times New Roman"/>
          <w:lang w:val="en-US"/>
        </w:rPr>
        <w:t>’</w:t>
      </w:r>
      <w:r w:rsidRPr="00AA2F95">
        <w:rPr>
          <w:rFonts w:ascii="Times New Roman" w:eastAsia="Arial" w:hAnsi="Times New Roman" w:cs="Times New Roman"/>
          <w:lang w:val="en-US"/>
        </w:rPr>
        <w:t>s current challenges but also has the potential to position it as a benchmark in cultural and educational innovation. Finally, the implementation of pilot tests is recommended to validate the impact and explore the use of other emerging technologies such as artificial intelligence and augmented reality.</w:t>
      </w:r>
    </w:p>
    <w:p w14:paraId="0FEB74D9" w14:textId="77777777" w:rsidR="00AA2F95" w:rsidRPr="00AA2F95" w:rsidRDefault="00AA2F95" w:rsidP="00AA2F95">
      <w:pPr>
        <w:spacing w:after="0" w:line="240" w:lineRule="auto"/>
        <w:jc w:val="both"/>
        <w:rPr>
          <w:rFonts w:ascii="Times New Roman" w:eastAsia="Arial" w:hAnsi="Times New Roman" w:cs="Times New Roman"/>
          <w:lang w:val="en-US"/>
        </w:rPr>
      </w:pPr>
    </w:p>
    <w:p w14:paraId="1D2887C9" w14:textId="77777777" w:rsidR="003855A1" w:rsidRDefault="003855A1" w:rsidP="00AA2F95">
      <w:pPr>
        <w:spacing w:after="0" w:line="240" w:lineRule="auto"/>
        <w:jc w:val="both"/>
        <w:rPr>
          <w:rFonts w:ascii="Times New Roman" w:eastAsia="Arial" w:hAnsi="Times New Roman" w:cs="Times New Roman"/>
          <w:lang w:val="en-US"/>
        </w:rPr>
      </w:pPr>
      <w:r w:rsidRPr="00AA2F95">
        <w:rPr>
          <w:rFonts w:ascii="Times New Roman" w:eastAsia="Arial" w:hAnsi="Times New Roman" w:cs="Times New Roman"/>
          <w:b/>
          <w:lang w:val="en-US"/>
        </w:rPr>
        <w:t>Keywords</w:t>
      </w:r>
      <w:r w:rsidRPr="00AA2F95">
        <w:rPr>
          <w:rFonts w:ascii="Times New Roman" w:eastAsia="Arial" w:hAnsi="Times New Roman" w:cs="Times New Roman"/>
          <w:lang w:val="en-US"/>
        </w:rPr>
        <w:t>: virtual reality, digital transformation, university museums, accessibility, cultural sustainability.</w:t>
      </w:r>
    </w:p>
    <w:p w14:paraId="09047EBF" w14:textId="77777777" w:rsidR="00E4058C" w:rsidRDefault="00E4058C" w:rsidP="00AA2F95">
      <w:pPr>
        <w:spacing w:after="0" w:line="240" w:lineRule="auto"/>
        <w:jc w:val="both"/>
        <w:rPr>
          <w:rFonts w:ascii="Times New Roman" w:eastAsia="Arial" w:hAnsi="Times New Roman" w:cs="Times New Roman"/>
          <w:lang w:val="en-US"/>
        </w:rPr>
      </w:pPr>
    </w:p>
    <w:p w14:paraId="4ABCD10C" w14:textId="77777777" w:rsidR="00E4058C" w:rsidRPr="00E4058C" w:rsidRDefault="00E4058C" w:rsidP="00E4058C">
      <w:pPr>
        <w:spacing w:after="0" w:line="240" w:lineRule="auto"/>
        <w:jc w:val="both"/>
        <w:rPr>
          <w:rFonts w:ascii="Times New Roman" w:eastAsia="Arial" w:hAnsi="Times New Roman" w:cs="Times New Roman"/>
          <w:lang w:val="en-US"/>
        </w:rPr>
      </w:pPr>
    </w:p>
    <w:p w14:paraId="48AC9AB1" w14:textId="77777777" w:rsidR="00E4058C" w:rsidRPr="00E4058C" w:rsidRDefault="00E4058C" w:rsidP="00E4058C">
      <w:pPr>
        <w:spacing w:after="0" w:line="240" w:lineRule="auto"/>
        <w:jc w:val="both"/>
        <w:rPr>
          <w:rFonts w:ascii="Times New Roman" w:eastAsia="Arial" w:hAnsi="Times New Roman" w:cs="Times New Roman"/>
          <w:lang w:val="en-US"/>
        </w:rPr>
      </w:pPr>
    </w:p>
    <w:p w14:paraId="20B75045" w14:textId="75FB27E3" w:rsidR="00E4058C" w:rsidRDefault="00E4058C" w:rsidP="00E4058C">
      <w:pPr>
        <w:pBdr>
          <w:bottom w:val="single" w:sz="4" w:space="1" w:color="auto"/>
        </w:pBdr>
        <w:spacing w:after="0" w:line="240" w:lineRule="auto"/>
        <w:jc w:val="both"/>
        <w:rPr>
          <w:rFonts w:ascii="Times New Roman" w:eastAsia="Arial" w:hAnsi="Times New Roman" w:cs="Times New Roman"/>
        </w:rPr>
      </w:pPr>
      <w:r w:rsidRPr="00E4058C">
        <w:rPr>
          <w:rFonts w:ascii="Times New Roman" w:eastAsia="Arial" w:hAnsi="Times New Roman" w:cs="Times New Roman"/>
          <w:b/>
        </w:rPr>
        <w:t>Fecha Recepción:</w:t>
      </w:r>
      <w:r w:rsidRPr="00E4058C">
        <w:rPr>
          <w:rFonts w:ascii="Times New Roman" w:eastAsia="Arial" w:hAnsi="Times New Roman" w:cs="Times New Roman"/>
        </w:rPr>
        <w:t xml:space="preserve"> Enero 2025                                                 </w:t>
      </w:r>
      <w:r w:rsidRPr="00E4058C">
        <w:rPr>
          <w:rFonts w:ascii="Times New Roman" w:eastAsia="Arial" w:hAnsi="Times New Roman" w:cs="Times New Roman"/>
          <w:b/>
        </w:rPr>
        <w:t>Fecha Aceptación:</w:t>
      </w:r>
      <w:r w:rsidRPr="00E4058C">
        <w:rPr>
          <w:rFonts w:ascii="Times New Roman" w:eastAsia="Arial" w:hAnsi="Times New Roman" w:cs="Times New Roman"/>
        </w:rPr>
        <w:t xml:space="preserve"> Mayo 2025</w:t>
      </w:r>
    </w:p>
    <w:p w14:paraId="195A2CB4" w14:textId="77777777" w:rsidR="00E4058C" w:rsidRPr="00E4058C" w:rsidRDefault="00E4058C" w:rsidP="00E4058C">
      <w:pPr>
        <w:pBdr>
          <w:bottom w:val="single" w:sz="4" w:space="1" w:color="auto"/>
        </w:pBdr>
        <w:spacing w:after="0" w:line="240" w:lineRule="auto"/>
        <w:jc w:val="both"/>
        <w:rPr>
          <w:rFonts w:ascii="Times New Roman" w:eastAsia="Arial" w:hAnsi="Times New Roman" w:cs="Times New Roman"/>
        </w:rPr>
      </w:pPr>
    </w:p>
    <w:p w14:paraId="338F23FC" w14:textId="77777777" w:rsidR="00E4058C" w:rsidRPr="00E4058C" w:rsidRDefault="00E4058C" w:rsidP="00E4058C">
      <w:pPr>
        <w:spacing w:after="0" w:line="240" w:lineRule="auto"/>
        <w:jc w:val="both"/>
        <w:rPr>
          <w:rFonts w:ascii="Times New Roman" w:eastAsia="Arial" w:hAnsi="Times New Roman" w:cs="Times New Roman"/>
        </w:rPr>
      </w:pPr>
    </w:p>
    <w:p w14:paraId="04E97CDE" w14:textId="77777777" w:rsidR="00AA2F95" w:rsidRPr="00AA2F95" w:rsidRDefault="00AA2F95" w:rsidP="00AA2F95">
      <w:pPr>
        <w:spacing w:after="0" w:line="240" w:lineRule="auto"/>
        <w:jc w:val="both"/>
        <w:rPr>
          <w:rFonts w:ascii="Times New Roman" w:eastAsia="Arial" w:hAnsi="Times New Roman" w:cs="Times New Roman"/>
          <w:lang w:val="en-US"/>
        </w:rPr>
      </w:pPr>
    </w:p>
    <w:p w14:paraId="36EDEA29" w14:textId="77777777" w:rsidR="003855A1" w:rsidRDefault="003855A1" w:rsidP="00AA2F95">
      <w:pPr>
        <w:pBdr>
          <w:top w:val="nil"/>
          <w:left w:val="nil"/>
          <w:bottom w:val="nil"/>
          <w:right w:val="nil"/>
          <w:between w:val="nil"/>
        </w:pBdr>
        <w:spacing w:after="0" w:line="240" w:lineRule="auto"/>
        <w:jc w:val="center"/>
        <w:rPr>
          <w:rFonts w:ascii="Times New Roman" w:eastAsia="Arial" w:hAnsi="Times New Roman" w:cs="Times New Roman"/>
          <w:b/>
        </w:rPr>
      </w:pPr>
      <w:r w:rsidRPr="00AA2F95">
        <w:rPr>
          <w:rFonts w:ascii="Times New Roman" w:eastAsia="Arial" w:hAnsi="Times New Roman" w:cs="Times New Roman"/>
          <w:b/>
        </w:rPr>
        <w:t>Introducción</w:t>
      </w:r>
    </w:p>
    <w:p w14:paraId="6720E946" w14:textId="77777777" w:rsidR="00AA2F95" w:rsidRDefault="00AA2F95" w:rsidP="00AA2F95">
      <w:pPr>
        <w:spacing w:after="0" w:line="240" w:lineRule="auto"/>
        <w:jc w:val="both"/>
        <w:rPr>
          <w:rFonts w:ascii="Times New Roman" w:eastAsia="Arial" w:hAnsi="Times New Roman" w:cs="Times New Roman"/>
        </w:rPr>
      </w:pPr>
    </w:p>
    <w:p w14:paraId="603CECF3" w14:textId="1E70C421" w:rsidR="003855A1" w:rsidRDefault="003855A1" w:rsidP="00AA2F95">
      <w:pPr>
        <w:spacing w:after="0" w:line="240" w:lineRule="auto"/>
        <w:jc w:val="both"/>
        <w:rPr>
          <w:rFonts w:ascii="Times New Roman" w:eastAsia="Arial" w:hAnsi="Times New Roman" w:cs="Times New Roman"/>
        </w:rPr>
      </w:pPr>
      <w:r w:rsidRPr="00AA2F95">
        <w:rPr>
          <w:rFonts w:ascii="Times New Roman" w:eastAsia="Arial" w:hAnsi="Times New Roman" w:cs="Times New Roman"/>
        </w:rPr>
        <w:t xml:space="preserve">La transformación digital es clave para que las instituciones culturales se mantengan vigentes y atractivas. Herramientas como la realidad virtual (VR), la inteligencia artificial (IA) y el Internet de las Cosas (IoT) permiten a los museos generar experiencias inmersivas que enriquecen el aprendizaje, fortalecen la participación activa del visitante y preservan el patrimonio cultural (Nisiotis </w:t>
      </w:r>
      <w:r w:rsidRPr="00AA2F95">
        <w:rPr>
          <w:rFonts w:ascii="Times New Roman" w:eastAsia="Arial" w:hAnsi="Times New Roman" w:cs="Times New Roman"/>
          <w:i/>
        </w:rPr>
        <w:t>et al.</w:t>
      </w:r>
      <w:r w:rsidRPr="00AA2F95">
        <w:rPr>
          <w:rFonts w:ascii="Times New Roman" w:eastAsia="Arial" w:hAnsi="Times New Roman" w:cs="Times New Roman"/>
        </w:rPr>
        <w:t>, 2019). Estas tecnologías se han convertido en un factor determinante para atraer a audiencias jóvenes. Según Statista (2022), el 70 % de millennials y Generación Z valora positivamente las experiencias digitales en museos.</w:t>
      </w:r>
    </w:p>
    <w:p w14:paraId="05FE6D3E" w14:textId="77777777" w:rsidR="00AA2F95" w:rsidRPr="00AA2F95" w:rsidRDefault="00AA2F95" w:rsidP="00AA2F95">
      <w:pPr>
        <w:spacing w:after="0" w:line="240" w:lineRule="auto"/>
        <w:jc w:val="both"/>
        <w:rPr>
          <w:rFonts w:ascii="Times New Roman" w:eastAsia="Arial" w:hAnsi="Times New Roman" w:cs="Times New Roman"/>
        </w:rPr>
      </w:pPr>
    </w:p>
    <w:p w14:paraId="1C5B201D" w14:textId="77777777" w:rsidR="003855A1" w:rsidRDefault="003855A1" w:rsidP="00AA2F95">
      <w:pPr>
        <w:spacing w:after="0" w:line="240" w:lineRule="auto"/>
        <w:jc w:val="both"/>
        <w:rPr>
          <w:rFonts w:ascii="Times New Roman" w:eastAsia="Arial" w:hAnsi="Times New Roman" w:cs="Times New Roman"/>
        </w:rPr>
      </w:pPr>
      <w:r w:rsidRPr="00AA2F95">
        <w:rPr>
          <w:rFonts w:ascii="Times New Roman" w:eastAsia="Arial" w:hAnsi="Times New Roman" w:cs="Times New Roman"/>
        </w:rPr>
        <w:t xml:space="preserve">En México, los museos universitarios enfrentan barreras como falta de recursos tecnológicos, presupuestos reducidos y escasa presencia digital. Estas limitaciones se agudizaron con la pandemia de COVID-19, que subrayó la urgencia de adoptar estrategias digitales para mantener la operatividad. El Museo Universitario Fernando del Paso, perteneciente a la Universidad de Colima, refleja estas condiciones: a pesar de su variada oferta expositiva, presenta una limitada infraestructura digital, ausencia de estrategias de innovación y recursos financieros reducidos —con un presupuesto anual estimado en MXN $80,000—. La </w:t>
      </w:r>
      <w:r w:rsidRPr="00AA2F95">
        <w:rPr>
          <w:rFonts w:ascii="Times New Roman" w:eastAsia="Arial" w:hAnsi="Times New Roman" w:cs="Times New Roman"/>
        </w:rPr>
        <w:lastRenderedPageBreak/>
        <w:t>situación financiera muestra una tendencia de dificultades históricas (Véase figura 1) que comprometen la capacidad del museo para innovar y expandirse, afectando su visibilidad institucional y restringiendo su proyección nacional e internacional. La necesidad de atraer nuevos públicos, ofrecer contenidos accesibles y enriquecer la experiencia museística vuelve indispensable incorporarle tecnologías emergentes que transformen la relación entre museo, visitante y conocimiento.</w:t>
      </w:r>
    </w:p>
    <w:p w14:paraId="251A80C4" w14:textId="77777777" w:rsidR="00AA2F95" w:rsidRPr="00AA2F95" w:rsidRDefault="00AA2F95" w:rsidP="00AA2F95">
      <w:pPr>
        <w:spacing w:after="0" w:line="240" w:lineRule="auto"/>
        <w:jc w:val="both"/>
        <w:rPr>
          <w:rFonts w:ascii="Times New Roman" w:eastAsia="Arial" w:hAnsi="Times New Roman" w:cs="Times New Roman"/>
        </w:rPr>
      </w:pPr>
    </w:p>
    <w:p w14:paraId="6EEBB958" w14:textId="77777777" w:rsidR="003855A1" w:rsidRPr="00AA2F95" w:rsidRDefault="003855A1" w:rsidP="00AA2F95">
      <w:pPr>
        <w:spacing w:after="0" w:line="240" w:lineRule="auto"/>
        <w:jc w:val="center"/>
        <w:rPr>
          <w:rFonts w:ascii="Times New Roman" w:eastAsia="Times New Roman" w:hAnsi="Times New Roman" w:cs="Times New Roman"/>
        </w:rPr>
      </w:pPr>
      <w:r w:rsidRPr="00AA2F95">
        <w:rPr>
          <w:rFonts w:ascii="Times New Roman" w:eastAsia="Arial" w:hAnsi="Times New Roman" w:cs="Times New Roman"/>
          <w:bCs/>
        </w:rPr>
        <w:t>Figura 1:</w:t>
      </w:r>
      <w:r w:rsidRPr="00AA2F95">
        <w:rPr>
          <w:rFonts w:ascii="Times New Roman" w:eastAsia="Arial" w:hAnsi="Times New Roman" w:cs="Times New Roman"/>
        </w:rPr>
        <w:t xml:space="preserve"> Ingresos y egresos por cuotas de recuperación del Museo Universitario Fernando del Paso (2019-2023).</w:t>
      </w:r>
    </w:p>
    <w:p w14:paraId="643269BD" w14:textId="77777777" w:rsidR="003855A1" w:rsidRPr="00AA2F95" w:rsidRDefault="003855A1" w:rsidP="00AA2F95">
      <w:pPr>
        <w:spacing w:after="0" w:line="240" w:lineRule="auto"/>
        <w:jc w:val="both"/>
        <w:rPr>
          <w:rFonts w:ascii="Times New Roman" w:eastAsia="Times New Roman" w:hAnsi="Times New Roman" w:cs="Times New Roman"/>
        </w:rPr>
      </w:pPr>
      <w:r w:rsidRPr="00AA2F95">
        <w:rPr>
          <w:rFonts w:ascii="Times New Roman" w:eastAsia="Times New Roman" w:hAnsi="Times New Roman" w:cs="Times New Roman"/>
          <w:noProof/>
        </w:rPr>
        <w:drawing>
          <wp:inline distT="0" distB="0" distL="0" distR="0" wp14:anchorId="2B935604" wp14:editId="4E57A59A">
            <wp:extent cx="5060961" cy="2643554"/>
            <wp:effectExtent l="0" t="0" r="6350" b="4445"/>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t="14847"/>
                    <a:stretch>
                      <a:fillRect/>
                    </a:stretch>
                  </pic:blipFill>
                  <pic:spPr>
                    <a:xfrm>
                      <a:off x="0" y="0"/>
                      <a:ext cx="5089462" cy="2658441"/>
                    </a:xfrm>
                    <a:prstGeom prst="rect">
                      <a:avLst/>
                    </a:prstGeom>
                    <a:ln/>
                  </pic:spPr>
                </pic:pic>
              </a:graphicData>
            </a:graphic>
          </wp:inline>
        </w:drawing>
      </w:r>
      <w:r w:rsidRPr="00AA2F95">
        <w:rPr>
          <w:rFonts w:ascii="Times New Roman" w:eastAsia="Times New Roman" w:hAnsi="Times New Roman" w:cs="Times New Roman"/>
        </w:rPr>
        <w:br/>
      </w:r>
    </w:p>
    <w:p w14:paraId="7D0F72C4" w14:textId="77777777" w:rsidR="003855A1" w:rsidRDefault="003855A1" w:rsidP="00AA2F95">
      <w:pPr>
        <w:spacing w:after="0" w:line="240" w:lineRule="auto"/>
        <w:jc w:val="center"/>
        <w:rPr>
          <w:rFonts w:ascii="Times New Roman" w:eastAsia="Times New Roman" w:hAnsi="Times New Roman" w:cs="Times New Roman"/>
        </w:rPr>
      </w:pPr>
      <w:r w:rsidRPr="00AA2F95">
        <w:rPr>
          <w:rFonts w:ascii="Times New Roman" w:eastAsia="Times New Roman" w:hAnsi="Times New Roman" w:cs="Times New Roman"/>
        </w:rPr>
        <w:t>Fuente: Adaptado de la encuesta de satisfacción Eventos e informe de labores del Museo Universitario Fernando del Paso 2023.</w:t>
      </w:r>
    </w:p>
    <w:p w14:paraId="6D9A4A27" w14:textId="77777777" w:rsidR="00AA2F95" w:rsidRPr="00AA2F95" w:rsidRDefault="00AA2F95" w:rsidP="00AA2F95">
      <w:pPr>
        <w:spacing w:after="0" w:line="240" w:lineRule="auto"/>
        <w:jc w:val="both"/>
        <w:rPr>
          <w:rFonts w:ascii="Times New Roman" w:eastAsia="Times New Roman" w:hAnsi="Times New Roman" w:cs="Times New Roman"/>
        </w:rPr>
      </w:pPr>
    </w:p>
    <w:p w14:paraId="54B2B3C0" w14:textId="77777777" w:rsidR="003855A1" w:rsidRDefault="003855A1" w:rsidP="00AA2F95">
      <w:pPr>
        <w:spacing w:after="0" w:line="240" w:lineRule="auto"/>
        <w:jc w:val="both"/>
        <w:rPr>
          <w:rFonts w:ascii="Times New Roman" w:eastAsia="Arial" w:hAnsi="Times New Roman" w:cs="Times New Roman"/>
        </w:rPr>
      </w:pPr>
      <w:r w:rsidRPr="00AA2F95">
        <w:rPr>
          <w:rFonts w:ascii="Times New Roman" w:eastAsia="Arial" w:hAnsi="Times New Roman" w:cs="Times New Roman"/>
        </w:rPr>
        <w:t>El diagnóstico integral del museo valoró la posibilidad proponer la de transformación digital basada en VR. Para ello, se aplicó una metodología mixta, que incluyó análisis documental, encuestas dirigidas a estudiantes y modelos de negocio como el Business Model Canvas (BMC). Asimismo, se distinguieron necesidades, oportunidades y condiciones internas para sustentar una intervención tecnológica futura.</w:t>
      </w:r>
    </w:p>
    <w:p w14:paraId="66CD02A8" w14:textId="77777777" w:rsidR="00AA2F95" w:rsidRPr="00AA2F95" w:rsidRDefault="00AA2F95" w:rsidP="00AA2F95">
      <w:pPr>
        <w:spacing w:after="0" w:line="240" w:lineRule="auto"/>
        <w:jc w:val="both"/>
        <w:rPr>
          <w:rFonts w:ascii="Times New Roman" w:eastAsia="Arial" w:hAnsi="Times New Roman" w:cs="Times New Roman"/>
        </w:rPr>
      </w:pPr>
    </w:p>
    <w:p w14:paraId="66A6B1FA" w14:textId="77777777" w:rsidR="003855A1" w:rsidRDefault="003855A1" w:rsidP="00AA2F95">
      <w:pPr>
        <w:spacing w:after="0" w:line="240" w:lineRule="auto"/>
        <w:jc w:val="both"/>
        <w:rPr>
          <w:rFonts w:ascii="Times New Roman" w:eastAsia="Arial" w:hAnsi="Times New Roman" w:cs="Times New Roman"/>
        </w:rPr>
      </w:pPr>
      <w:r w:rsidRPr="00AA2F95">
        <w:rPr>
          <w:rFonts w:ascii="Times New Roman" w:eastAsia="Arial" w:hAnsi="Times New Roman" w:cs="Times New Roman"/>
        </w:rPr>
        <w:t xml:space="preserve">El estudio se inscribe en la línea de investigación “Cultura digital en la empresa” y se articula con experiencias documentadas a nivel internacional. Casos como los de Simone </w:t>
      </w:r>
      <w:r w:rsidRPr="00AA2F95">
        <w:rPr>
          <w:rFonts w:ascii="Times New Roman" w:eastAsia="Arial" w:hAnsi="Times New Roman" w:cs="Times New Roman"/>
          <w:i/>
        </w:rPr>
        <w:t>et al.</w:t>
      </w:r>
      <w:r w:rsidRPr="00AA2F95">
        <w:rPr>
          <w:rFonts w:ascii="Times New Roman" w:eastAsia="Arial" w:hAnsi="Times New Roman" w:cs="Times New Roman"/>
        </w:rPr>
        <w:t xml:space="preserve"> (2021), Martínez </w:t>
      </w:r>
      <w:r w:rsidRPr="00AA2F95">
        <w:rPr>
          <w:rFonts w:ascii="Times New Roman" w:eastAsia="Arial" w:hAnsi="Times New Roman" w:cs="Times New Roman"/>
          <w:i/>
        </w:rPr>
        <w:t>et al.</w:t>
      </w:r>
      <w:r w:rsidRPr="00AA2F95">
        <w:rPr>
          <w:rFonts w:ascii="Times New Roman" w:eastAsia="Arial" w:hAnsi="Times New Roman" w:cs="Times New Roman"/>
        </w:rPr>
        <w:t xml:space="preserve"> (2019) y UNESCO (2020) muestran el uso y alcance institucional de la VR, evidencias que contextualizan y refuerzan la propuesta en el entorno mexicano.</w:t>
      </w:r>
    </w:p>
    <w:p w14:paraId="309A2B69" w14:textId="77777777" w:rsidR="00AA2F95" w:rsidRPr="00AA2F95" w:rsidRDefault="00AA2F95" w:rsidP="00AA2F95">
      <w:pPr>
        <w:spacing w:after="0" w:line="240" w:lineRule="auto"/>
        <w:jc w:val="both"/>
        <w:rPr>
          <w:rFonts w:ascii="Times New Roman" w:eastAsia="Arial" w:hAnsi="Times New Roman" w:cs="Times New Roman"/>
        </w:rPr>
      </w:pPr>
    </w:p>
    <w:p w14:paraId="2406ACDF" w14:textId="77777777" w:rsidR="003855A1" w:rsidRDefault="003855A1" w:rsidP="00AA2F95">
      <w:pPr>
        <w:spacing w:after="0" w:line="240" w:lineRule="auto"/>
        <w:jc w:val="both"/>
        <w:rPr>
          <w:rFonts w:ascii="Times New Roman" w:eastAsia="Arial" w:hAnsi="Times New Roman" w:cs="Times New Roman"/>
        </w:rPr>
      </w:pPr>
      <w:r w:rsidRPr="00AA2F95">
        <w:rPr>
          <w:rFonts w:ascii="Times New Roman" w:eastAsia="Arial" w:hAnsi="Times New Roman" w:cs="Times New Roman"/>
        </w:rPr>
        <w:t>El artículo está estructurado en cinco apartados: introducción, metodología, resultados, discusión y conclusiones. En conjunto, ofrece una base sólida para impulsar la digitalización del Museo y aportar al debate sobre la renovación de los espacios culturales universitarios mediante el uso estratégico de tecnologías emergentes.</w:t>
      </w:r>
    </w:p>
    <w:p w14:paraId="2BE0AD61" w14:textId="77777777" w:rsidR="00E4058C" w:rsidRDefault="00E4058C" w:rsidP="00AA2F95">
      <w:pPr>
        <w:spacing w:after="0" w:line="240" w:lineRule="auto"/>
        <w:jc w:val="both"/>
        <w:rPr>
          <w:rFonts w:ascii="Times New Roman" w:eastAsia="Arial" w:hAnsi="Times New Roman" w:cs="Times New Roman"/>
        </w:rPr>
      </w:pPr>
    </w:p>
    <w:p w14:paraId="6A5A027F" w14:textId="77777777" w:rsidR="00E4058C" w:rsidRDefault="00E4058C" w:rsidP="00AA2F95">
      <w:pPr>
        <w:spacing w:after="0" w:line="240" w:lineRule="auto"/>
        <w:jc w:val="both"/>
        <w:rPr>
          <w:rFonts w:ascii="Times New Roman" w:eastAsia="Arial" w:hAnsi="Times New Roman" w:cs="Times New Roman"/>
        </w:rPr>
      </w:pPr>
    </w:p>
    <w:p w14:paraId="26D08F46" w14:textId="77777777" w:rsidR="00E4058C" w:rsidRDefault="00E4058C" w:rsidP="00AA2F95">
      <w:pPr>
        <w:spacing w:after="0" w:line="240" w:lineRule="auto"/>
        <w:jc w:val="both"/>
        <w:rPr>
          <w:rFonts w:ascii="Times New Roman" w:eastAsia="Arial" w:hAnsi="Times New Roman" w:cs="Times New Roman"/>
        </w:rPr>
      </w:pPr>
    </w:p>
    <w:p w14:paraId="42D69536" w14:textId="77777777" w:rsidR="00AA2F95" w:rsidRPr="00AA2F95" w:rsidRDefault="00AA2F95" w:rsidP="00AA2F95">
      <w:pPr>
        <w:spacing w:after="0" w:line="240" w:lineRule="auto"/>
        <w:jc w:val="both"/>
        <w:rPr>
          <w:rFonts w:ascii="Times New Roman" w:eastAsia="Arial" w:hAnsi="Times New Roman" w:cs="Times New Roman"/>
        </w:rPr>
      </w:pPr>
    </w:p>
    <w:p w14:paraId="2F22B3D1" w14:textId="77777777" w:rsidR="003855A1" w:rsidRPr="00AA2F95" w:rsidRDefault="003855A1" w:rsidP="00AA2F95">
      <w:pPr>
        <w:pBdr>
          <w:top w:val="nil"/>
          <w:left w:val="nil"/>
          <w:bottom w:val="nil"/>
          <w:right w:val="nil"/>
          <w:between w:val="nil"/>
        </w:pBdr>
        <w:spacing w:after="0" w:line="240" w:lineRule="auto"/>
        <w:jc w:val="center"/>
        <w:rPr>
          <w:rFonts w:ascii="Times New Roman" w:eastAsia="Arial" w:hAnsi="Times New Roman" w:cs="Times New Roman"/>
        </w:rPr>
      </w:pPr>
      <w:r w:rsidRPr="00AA2F95">
        <w:rPr>
          <w:rFonts w:ascii="Times New Roman" w:eastAsia="Arial" w:hAnsi="Times New Roman" w:cs="Times New Roman"/>
          <w:b/>
        </w:rPr>
        <w:lastRenderedPageBreak/>
        <w:t>Metodología</w:t>
      </w:r>
    </w:p>
    <w:p w14:paraId="1D04DACF" w14:textId="77777777" w:rsid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rPr>
      </w:pPr>
    </w:p>
    <w:p w14:paraId="6159135E" w14:textId="3D270558" w:rsidR="003855A1" w:rsidRPr="00AA2F95"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rPr>
        <w:t>Para diagnosticar la viabilidad de dicha propuesta en el Museo Universitario, se optó por una metodología mixta, integrando enfoques cualitativos y cuantitativos, mediante la contrastación de fuentes documentales, percepciones de los usuarios y análisis estratégico del contexto institucional.</w:t>
      </w:r>
    </w:p>
    <w:p w14:paraId="3148F110" w14:textId="77777777" w:rsidR="003855A1"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rPr>
        <w:t>El diseño metodológico se estructuró en tres etapas principales.</w:t>
      </w:r>
    </w:p>
    <w:p w14:paraId="7FA02C66" w14:textId="77777777" w:rsidR="00AA2F95" w:rsidRP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rPr>
      </w:pPr>
    </w:p>
    <w:p w14:paraId="5654CC93" w14:textId="77777777" w:rsidR="003855A1"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bCs/>
        </w:rPr>
        <w:t>1. Análisis documental y contextual.</w:t>
      </w:r>
      <w:r w:rsidRPr="00AA2F95">
        <w:rPr>
          <w:rFonts w:ascii="Times New Roman" w:eastAsia="Arial" w:hAnsi="Times New Roman" w:cs="Times New Roman"/>
        </w:rPr>
        <w:t xml:space="preserve"> Se revisaron fuentes institucionales como informes de labores, planes estratégicos y reportes financieros de la Dirección General de Museos y Acervo Cultural de la Universidad de Colima (2021-2023), así como estudios previos sobre digitalización en museos universitarios y aplicación de tecnologías emergentes como la VR, para construir el marco teórico y establecer los principales indicadores del diagnóstico.</w:t>
      </w:r>
    </w:p>
    <w:p w14:paraId="6EB43AB1" w14:textId="77777777" w:rsidR="00AA2F95" w:rsidRP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rPr>
      </w:pPr>
    </w:p>
    <w:p w14:paraId="0E391479" w14:textId="77777777" w:rsidR="003855A1"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bCs/>
        </w:rPr>
        <w:t>2. Levantamiento y análisis de datos empíricos.</w:t>
      </w:r>
      <w:r w:rsidRPr="00AA2F95">
        <w:rPr>
          <w:rFonts w:ascii="Times New Roman" w:eastAsia="Arial" w:hAnsi="Times New Roman" w:cs="Times New Roman"/>
        </w:rPr>
        <w:t xml:space="preserve"> Se diseñó y aplicó una encuesta estructurada a 335 estudiantes de nivel medio superior y superior de la Universidad de Colima, seleccionados mediante muestreo no probabilístico intencional.</w:t>
      </w:r>
      <w:r w:rsidRPr="00AA2F95">
        <w:rPr>
          <w:rFonts w:ascii="Times New Roman" w:eastAsia="Times New Roman" w:hAnsi="Times New Roman" w:cs="Times New Roman"/>
        </w:rPr>
        <w:t xml:space="preserve"> </w:t>
      </w:r>
      <w:r w:rsidRPr="00AA2F95">
        <w:rPr>
          <w:rFonts w:ascii="Times New Roman" w:eastAsia="Arial" w:hAnsi="Times New Roman" w:cs="Times New Roman"/>
        </w:rPr>
        <w:t>El instrumento, validado por expertos y con un coeficiente α de Cronbach de 0.935, estuvo compuesto por 44 ítems agrupados en 10 secciones, con escalas tipo Likert de cinco puntos y preguntas de opción múltiple.</w:t>
      </w:r>
    </w:p>
    <w:p w14:paraId="482E0DEC" w14:textId="77777777" w:rsidR="00AA2F95" w:rsidRPr="00AA2F95" w:rsidRDefault="00AA2F95" w:rsidP="00AA2F95">
      <w:pPr>
        <w:pBdr>
          <w:top w:val="nil"/>
          <w:left w:val="nil"/>
          <w:bottom w:val="nil"/>
          <w:right w:val="nil"/>
          <w:between w:val="nil"/>
        </w:pBdr>
        <w:spacing w:after="0" w:line="240" w:lineRule="auto"/>
        <w:jc w:val="both"/>
        <w:rPr>
          <w:rFonts w:ascii="Times New Roman" w:eastAsia="Times New Roman" w:hAnsi="Times New Roman" w:cs="Times New Roman"/>
        </w:rPr>
      </w:pPr>
    </w:p>
    <w:p w14:paraId="3ED31D1B" w14:textId="77777777" w:rsidR="003855A1"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rPr>
        <w:t>Los datos fueron procesados mediante estadística descriptiva (frecuencias, medias y porcentajes) para variables como nivel de satisfacción de visitas presenciales, uso de tecnologías digitales, apertura hacia experiencias inmersivas y disposición a pagar por recorridos virtuales.</w:t>
      </w:r>
    </w:p>
    <w:p w14:paraId="0418F77D" w14:textId="77777777" w:rsidR="00AA2F95" w:rsidRP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rPr>
      </w:pPr>
    </w:p>
    <w:p w14:paraId="441062A9" w14:textId="77777777" w:rsidR="003855A1"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rPr>
        <w:t>Además, se desarrolló un análisis comparativo con museos que ya cuentan con tecnología VR, tanto a nivel nacional como internacional. En éste se consideraron indicadores de satisfacción, retorno de visitas, tiempo promedio de permanencia, inversión requerida y sostenibilidad operativa. El objetivo fue identificar buenas prácticas, analizar modelos exitosos y prever riesgos asociados a la implementación del sistema propuesto.</w:t>
      </w:r>
    </w:p>
    <w:p w14:paraId="1110620D" w14:textId="77777777" w:rsidR="00AA2F95" w:rsidRP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rPr>
      </w:pPr>
    </w:p>
    <w:p w14:paraId="43A5BCAB" w14:textId="77777777" w:rsidR="003855A1" w:rsidRPr="00AA2F95" w:rsidRDefault="003855A1" w:rsidP="00AA2F95">
      <w:pPr>
        <w:spacing w:after="0" w:line="240" w:lineRule="auto"/>
        <w:jc w:val="center"/>
        <w:rPr>
          <w:rFonts w:ascii="Times New Roman" w:eastAsia="Times New Roman" w:hAnsi="Times New Roman" w:cs="Times New Roman"/>
        </w:rPr>
      </w:pPr>
      <w:r w:rsidRPr="00AA2F95">
        <w:rPr>
          <w:rFonts w:ascii="Times New Roman" w:eastAsia="Arial" w:hAnsi="Times New Roman" w:cs="Times New Roman"/>
          <w:bCs/>
        </w:rPr>
        <w:t>Tabla 1:</w:t>
      </w:r>
      <w:r w:rsidRPr="00AA2F95">
        <w:rPr>
          <w:rFonts w:ascii="Times New Roman" w:eastAsia="Arial" w:hAnsi="Times New Roman" w:cs="Times New Roman"/>
        </w:rPr>
        <w:t xml:space="preserve"> Impacto potencial de la realidad virtual en la experiencia del visitante</w:t>
      </w:r>
    </w:p>
    <w:tbl>
      <w:tblPr>
        <w:tblW w:w="8921" w:type="dxa"/>
        <w:jc w:val="center"/>
        <w:tblLayout w:type="fixed"/>
        <w:tblLook w:val="0400" w:firstRow="0" w:lastRow="0" w:firstColumn="0" w:lastColumn="0" w:noHBand="0" w:noVBand="1"/>
      </w:tblPr>
      <w:tblGrid>
        <w:gridCol w:w="3723"/>
        <w:gridCol w:w="1988"/>
        <w:gridCol w:w="3210"/>
      </w:tblGrid>
      <w:tr w:rsidR="00AA2F95" w:rsidRPr="00AA2F95" w14:paraId="0CBE7BBB" w14:textId="77777777" w:rsidTr="00AA2F95">
        <w:trPr>
          <w:trHeight w:val="435"/>
          <w:jc w:val="center"/>
        </w:trPr>
        <w:tc>
          <w:tcPr>
            <w:tcW w:w="3723" w:type="dxa"/>
            <w:tcBorders>
              <w:top w:val="single" w:sz="8" w:space="0" w:color="E97132"/>
              <w:left w:val="single" w:sz="8" w:space="0" w:color="E97132"/>
              <w:bottom w:val="single" w:sz="8" w:space="0" w:color="E97132"/>
              <w:right w:val="single" w:sz="6" w:space="0" w:color="000000"/>
            </w:tcBorders>
            <w:shd w:val="clear" w:color="auto" w:fill="E97132"/>
            <w:tcMar>
              <w:top w:w="0" w:type="dxa"/>
              <w:left w:w="100" w:type="dxa"/>
              <w:bottom w:w="0" w:type="dxa"/>
              <w:right w:w="100" w:type="dxa"/>
            </w:tcMar>
          </w:tcPr>
          <w:p w14:paraId="4843CCB4" w14:textId="77777777" w:rsidR="003855A1" w:rsidRPr="00AA2F95" w:rsidRDefault="003855A1" w:rsidP="00AA2F95">
            <w:pPr>
              <w:spacing w:after="0" w:line="240" w:lineRule="auto"/>
              <w:jc w:val="both"/>
              <w:rPr>
                <w:rFonts w:ascii="Times New Roman" w:eastAsia="Times New Roman" w:hAnsi="Times New Roman" w:cs="Times New Roman"/>
              </w:rPr>
            </w:pPr>
            <w:r w:rsidRPr="00AA2F95">
              <w:rPr>
                <w:rFonts w:ascii="Times New Roman" w:eastAsia="Arial" w:hAnsi="Times New Roman" w:cs="Times New Roman"/>
              </w:rPr>
              <w:t>Indicador</w:t>
            </w:r>
          </w:p>
        </w:tc>
        <w:tc>
          <w:tcPr>
            <w:tcW w:w="1988" w:type="dxa"/>
            <w:tcBorders>
              <w:top w:val="single" w:sz="8" w:space="0" w:color="E97132"/>
              <w:left w:val="single" w:sz="6" w:space="0" w:color="000000"/>
              <w:bottom w:val="single" w:sz="8" w:space="0" w:color="E97132"/>
              <w:right w:val="single" w:sz="6" w:space="0" w:color="000000"/>
            </w:tcBorders>
            <w:shd w:val="clear" w:color="auto" w:fill="E97132"/>
            <w:tcMar>
              <w:top w:w="0" w:type="dxa"/>
              <w:left w:w="100" w:type="dxa"/>
              <w:bottom w:w="0" w:type="dxa"/>
              <w:right w:w="100" w:type="dxa"/>
            </w:tcMar>
          </w:tcPr>
          <w:p w14:paraId="6C10F466" w14:textId="77777777" w:rsidR="003855A1" w:rsidRPr="00AA2F95" w:rsidRDefault="003855A1" w:rsidP="00AA2F95">
            <w:pPr>
              <w:spacing w:after="0" w:line="240" w:lineRule="auto"/>
              <w:jc w:val="both"/>
              <w:rPr>
                <w:rFonts w:ascii="Times New Roman" w:eastAsia="Times New Roman" w:hAnsi="Times New Roman" w:cs="Times New Roman"/>
              </w:rPr>
            </w:pPr>
            <w:r w:rsidRPr="00AA2F95">
              <w:rPr>
                <w:rFonts w:ascii="Times New Roman" w:eastAsia="Arial" w:hAnsi="Times New Roman" w:cs="Times New Roman"/>
              </w:rPr>
              <w:t>Antes de VR (%)</w:t>
            </w:r>
          </w:p>
        </w:tc>
        <w:tc>
          <w:tcPr>
            <w:tcW w:w="3210" w:type="dxa"/>
            <w:tcBorders>
              <w:top w:val="single" w:sz="8" w:space="0" w:color="E97132"/>
              <w:left w:val="single" w:sz="6" w:space="0" w:color="000000"/>
              <w:bottom w:val="single" w:sz="8" w:space="0" w:color="E97132"/>
              <w:right w:val="single" w:sz="8" w:space="0" w:color="E97132"/>
            </w:tcBorders>
            <w:shd w:val="clear" w:color="auto" w:fill="E97132"/>
            <w:tcMar>
              <w:top w:w="0" w:type="dxa"/>
              <w:left w:w="100" w:type="dxa"/>
              <w:bottom w:w="0" w:type="dxa"/>
              <w:right w:w="100" w:type="dxa"/>
            </w:tcMar>
          </w:tcPr>
          <w:p w14:paraId="617CD32E" w14:textId="77777777" w:rsidR="003855A1" w:rsidRPr="00AA2F95" w:rsidRDefault="003855A1" w:rsidP="00AA2F95">
            <w:pPr>
              <w:spacing w:after="0" w:line="240" w:lineRule="auto"/>
              <w:jc w:val="both"/>
              <w:rPr>
                <w:rFonts w:ascii="Times New Roman" w:eastAsia="Times New Roman" w:hAnsi="Times New Roman" w:cs="Times New Roman"/>
              </w:rPr>
            </w:pPr>
            <w:r w:rsidRPr="00AA2F95">
              <w:rPr>
                <w:rFonts w:ascii="Times New Roman" w:eastAsia="Arial" w:hAnsi="Times New Roman" w:cs="Times New Roman"/>
              </w:rPr>
              <w:t>Después de VR (%)</w:t>
            </w:r>
          </w:p>
        </w:tc>
      </w:tr>
      <w:tr w:rsidR="00AA2F95" w:rsidRPr="00AA2F95" w14:paraId="7CBA0E1C" w14:textId="77777777" w:rsidTr="00AA2F95">
        <w:trPr>
          <w:trHeight w:val="435"/>
          <w:jc w:val="center"/>
        </w:trPr>
        <w:tc>
          <w:tcPr>
            <w:tcW w:w="3723" w:type="dxa"/>
            <w:tcBorders>
              <w:top w:val="single" w:sz="8" w:space="0" w:color="E97132"/>
              <w:left w:val="single" w:sz="8" w:space="0" w:color="F1A983"/>
              <w:bottom w:val="single" w:sz="8" w:space="0" w:color="F1A983"/>
              <w:right w:val="single" w:sz="8" w:space="0" w:color="F1A983"/>
            </w:tcBorders>
            <w:shd w:val="clear" w:color="auto" w:fill="FAE2D5"/>
            <w:tcMar>
              <w:top w:w="0" w:type="dxa"/>
              <w:left w:w="100" w:type="dxa"/>
              <w:bottom w:w="0" w:type="dxa"/>
              <w:right w:w="100" w:type="dxa"/>
            </w:tcMar>
          </w:tcPr>
          <w:p w14:paraId="029D7D9E" w14:textId="77777777" w:rsidR="003855A1" w:rsidRPr="00AA2F95" w:rsidRDefault="003855A1" w:rsidP="00AA2F95">
            <w:pPr>
              <w:spacing w:after="0" w:line="240" w:lineRule="auto"/>
              <w:jc w:val="both"/>
              <w:rPr>
                <w:rFonts w:ascii="Times New Roman" w:eastAsia="Times New Roman" w:hAnsi="Times New Roman" w:cs="Times New Roman"/>
              </w:rPr>
            </w:pPr>
            <w:r w:rsidRPr="00AA2F95">
              <w:rPr>
                <w:rFonts w:ascii="Times New Roman" w:eastAsia="Arial" w:hAnsi="Times New Roman" w:cs="Times New Roman"/>
              </w:rPr>
              <w:t>Satisfacción del visitante</w:t>
            </w:r>
          </w:p>
        </w:tc>
        <w:tc>
          <w:tcPr>
            <w:tcW w:w="1988" w:type="dxa"/>
            <w:tcBorders>
              <w:top w:val="single" w:sz="8" w:space="0" w:color="E97132"/>
              <w:left w:val="single" w:sz="8" w:space="0" w:color="F1A983"/>
              <w:bottom w:val="single" w:sz="8" w:space="0" w:color="F1A983"/>
              <w:right w:val="single" w:sz="8" w:space="0" w:color="F1A983"/>
            </w:tcBorders>
            <w:shd w:val="clear" w:color="auto" w:fill="FAE2D5"/>
            <w:tcMar>
              <w:top w:w="0" w:type="dxa"/>
              <w:left w:w="100" w:type="dxa"/>
              <w:bottom w:w="0" w:type="dxa"/>
              <w:right w:w="100" w:type="dxa"/>
            </w:tcMar>
          </w:tcPr>
          <w:p w14:paraId="6EE8D137" w14:textId="77777777" w:rsidR="003855A1" w:rsidRPr="00AA2F95" w:rsidRDefault="003855A1" w:rsidP="00AA2F95">
            <w:pPr>
              <w:spacing w:after="0" w:line="240" w:lineRule="auto"/>
              <w:jc w:val="both"/>
              <w:rPr>
                <w:rFonts w:ascii="Times New Roman" w:eastAsia="Times New Roman" w:hAnsi="Times New Roman" w:cs="Times New Roman"/>
              </w:rPr>
            </w:pPr>
            <w:r w:rsidRPr="00AA2F95">
              <w:rPr>
                <w:rFonts w:ascii="Times New Roman" w:eastAsia="Arial" w:hAnsi="Times New Roman" w:cs="Times New Roman"/>
              </w:rPr>
              <w:t>65 %</w:t>
            </w:r>
          </w:p>
        </w:tc>
        <w:tc>
          <w:tcPr>
            <w:tcW w:w="3210" w:type="dxa"/>
            <w:tcBorders>
              <w:top w:val="single" w:sz="8" w:space="0" w:color="E97132"/>
              <w:left w:val="single" w:sz="8" w:space="0" w:color="F1A983"/>
              <w:bottom w:val="single" w:sz="8" w:space="0" w:color="F1A983"/>
              <w:right w:val="single" w:sz="8" w:space="0" w:color="F1A983"/>
            </w:tcBorders>
            <w:shd w:val="clear" w:color="auto" w:fill="FAE2D5"/>
            <w:tcMar>
              <w:top w:w="0" w:type="dxa"/>
              <w:left w:w="100" w:type="dxa"/>
              <w:bottom w:w="0" w:type="dxa"/>
              <w:right w:w="100" w:type="dxa"/>
            </w:tcMar>
          </w:tcPr>
          <w:p w14:paraId="74AF1B5F" w14:textId="77777777" w:rsidR="003855A1" w:rsidRPr="00AA2F95" w:rsidRDefault="003855A1" w:rsidP="00AA2F95">
            <w:pPr>
              <w:spacing w:after="0" w:line="240" w:lineRule="auto"/>
              <w:jc w:val="both"/>
              <w:rPr>
                <w:rFonts w:ascii="Times New Roman" w:eastAsia="Times New Roman" w:hAnsi="Times New Roman" w:cs="Times New Roman"/>
              </w:rPr>
            </w:pPr>
            <w:r w:rsidRPr="00AA2F95">
              <w:rPr>
                <w:rFonts w:ascii="Times New Roman" w:eastAsia="Arial" w:hAnsi="Times New Roman" w:cs="Times New Roman"/>
              </w:rPr>
              <w:t>90 %</w:t>
            </w:r>
          </w:p>
        </w:tc>
      </w:tr>
      <w:tr w:rsidR="00AA2F95" w:rsidRPr="00AA2F95" w14:paraId="0EFC2601" w14:textId="77777777" w:rsidTr="00AA2F95">
        <w:trPr>
          <w:trHeight w:val="435"/>
          <w:jc w:val="center"/>
        </w:trPr>
        <w:tc>
          <w:tcPr>
            <w:tcW w:w="3723" w:type="dxa"/>
            <w:tcBorders>
              <w:top w:val="single" w:sz="8" w:space="0" w:color="F1A983"/>
              <w:left w:val="single" w:sz="8" w:space="0" w:color="F1A983"/>
              <w:bottom w:val="single" w:sz="8" w:space="0" w:color="F1A983"/>
              <w:right w:val="single" w:sz="8" w:space="0" w:color="F1A983"/>
            </w:tcBorders>
            <w:tcMar>
              <w:top w:w="0" w:type="dxa"/>
              <w:left w:w="100" w:type="dxa"/>
              <w:bottom w:w="0" w:type="dxa"/>
              <w:right w:w="100" w:type="dxa"/>
            </w:tcMar>
          </w:tcPr>
          <w:p w14:paraId="08BC3918" w14:textId="77777777" w:rsidR="003855A1" w:rsidRPr="00AA2F95" w:rsidRDefault="003855A1" w:rsidP="00AA2F95">
            <w:pPr>
              <w:spacing w:after="0" w:line="240" w:lineRule="auto"/>
              <w:jc w:val="both"/>
              <w:rPr>
                <w:rFonts w:ascii="Times New Roman" w:eastAsia="Times New Roman" w:hAnsi="Times New Roman" w:cs="Times New Roman"/>
              </w:rPr>
            </w:pPr>
            <w:r w:rsidRPr="00AA2F95">
              <w:rPr>
                <w:rFonts w:ascii="Times New Roman" w:eastAsia="Arial" w:hAnsi="Times New Roman" w:cs="Times New Roman"/>
              </w:rPr>
              <w:t>Retorno de visitas</w:t>
            </w:r>
          </w:p>
        </w:tc>
        <w:tc>
          <w:tcPr>
            <w:tcW w:w="1988" w:type="dxa"/>
            <w:tcBorders>
              <w:top w:val="single" w:sz="8" w:space="0" w:color="F1A983"/>
              <w:left w:val="single" w:sz="8" w:space="0" w:color="F1A983"/>
              <w:bottom w:val="single" w:sz="8" w:space="0" w:color="F1A983"/>
              <w:right w:val="single" w:sz="8" w:space="0" w:color="F1A983"/>
            </w:tcBorders>
            <w:tcMar>
              <w:top w:w="0" w:type="dxa"/>
              <w:left w:w="100" w:type="dxa"/>
              <w:bottom w:w="0" w:type="dxa"/>
              <w:right w:w="100" w:type="dxa"/>
            </w:tcMar>
          </w:tcPr>
          <w:p w14:paraId="37E6F701" w14:textId="77777777" w:rsidR="003855A1" w:rsidRPr="00AA2F95" w:rsidRDefault="003855A1" w:rsidP="00AA2F95">
            <w:pPr>
              <w:spacing w:after="0" w:line="240" w:lineRule="auto"/>
              <w:jc w:val="both"/>
              <w:rPr>
                <w:rFonts w:ascii="Times New Roman" w:eastAsia="Times New Roman" w:hAnsi="Times New Roman" w:cs="Times New Roman"/>
              </w:rPr>
            </w:pPr>
            <w:r w:rsidRPr="00AA2F95">
              <w:rPr>
                <w:rFonts w:ascii="Times New Roman" w:eastAsia="Arial" w:hAnsi="Times New Roman" w:cs="Times New Roman"/>
              </w:rPr>
              <w:t>40 %</w:t>
            </w:r>
          </w:p>
        </w:tc>
        <w:tc>
          <w:tcPr>
            <w:tcW w:w="3210" w:type="dxa"/>
            <w:tcBorders>
              <w:top w:val="single" w:sz="8" w:space="0" w:color="F1A983"/>
              <w:left w:val="single" w:sz="8" w:space="0" w:color="F1A983"/>
              <w:bottom w:val="single" w:sz="8" w:space="0" w:color="F1A983"/>
              <w:right w:val="single" w:sz="8" w:space="0" w:color="F1A983"/>
            </w:tcBorders>
            <w:tcMar>
              <w:top w:w="0" w:type="dxa"/>
              <w:left w:w="100" w:type="dxa"/>
              <w:bottom w:w="0" w:type="dxa"/>
              <w:right w:w="100" w:type="dxa"/>
            </w:tcMar>
          </w:tcPr>
          <w:p w14:paraId="329EBE6D" w14:textId="77777777" w:rsidR="003855A1" w:rsidRPr="00AA2F95" w:rsidRDefault="003855A1" w:rsidP="00AA2F95">
            <w:pPr>
              <w:spacing w:after="0" w:line="240" w:lineRule="auto"/>
              <w:jc w:val="both"/>
              <w:rPr>
                <w:rFonts w:ascii="Times New Roman" w:eastAsia="Times New Roman" w:hAnsi="Times New Roman" w:cs="Times New Roman"/>
              </w:rPr>
            </w:pPr>
            <w:r w:rsidRPr="00AA2F95">
              <w:rPr>
                <w:rFonts w:ascii="Times New Roman" w:eastAsia="Arial" w:hAnsi="Times New Roman" w:cs="Times New Roman"/>
              </w:rPr>
              <w:t>70 %</w:t>
            </w:r>
          </w:p>
        </w:tc>
      </w:tr>
      <w:tr w:rsidR="00AA2F95" w:rsidRPr="00AA2F95" w14:paraId="665190FE" w14:textId="77777777" w:rsidTr="00AA2F95">
        <w:trPr>
          <w:trHeight w:val="435"/>
          <w:jc w:val="center"/>
        </w:trPr>
        <w:tc>
          <w:tcPr>
            <w:tcW w:w="3723" w:type="dxa"/>
            <w:tcBorders>
              <w:top w:val="single" w:sz="8" w:space="0" w:color="F1A983"/>
              <w:left w:val="single" w:sz="8" w:space="0" w:color="F1A983"/>
              <w:bottom w:val="single" w:sz="8" w:space="0" w:color="F1A983"/>
              <w:right w:val="single" w:sz="8" w:space="0" w:color="F1A983"/>
            </w:tcBorders>
            <w:shd w:val="clear" w:color="auto" w:fill="FAE2D5"/>
            <w:tcMar>
              <w:top w:w="0" w:type="dxa"/>
              <w:left w:w="100" w:type="dxa"/>
              <w:bottom w:w="0" w:type="dxa"/>
              <w:right w:w="100" w:type="dxa"/>
            </w:tcMar>
          </w:tcPr>
          <w:p w14:paraId="7A4AB5FF" w14:textId="77777777" w:rsidR="003855A1" w:rsidRPr="00AA2F95" w:rsidRDefault="003855A1" w:rsidP="00AA2F95">
            <w:pPr>
              <w:spacing w:after="0" w:line="240" w:lineRule="auto"/>
              <w:jc w:val="both"/>
              <w:rPr>
                <w:rFonts w:ascii="Times New Roman" w:eastAsia="Times New Roman" w:hAnsi="Times New Roman" w:cs="Times New Roman"/>
              </w:rPr>
            </w:pPr>
            <w:r w:rsidRPr="00AA2F95">
              <w:rPr>
                <w:rFonts w:ascii="Times New Roman" w:eastAsia="Arial" w:hAnsi="Times New Roman" w:cs="Times New Roman"/>
              </w:rPr>
              <w:t>Tiempo promedio por visitante</w:t>
            </w:r>
          </w:p>
        </w:tc>
        <w:tc>
          <w:tcPr>
            <w:tcW w:w="1988" w:type="dxa"/>
            <w:tcBorders>
              <w:top w:val="single" w:sz="8" w:space="0" w:color="F1A983"/>
              <w:left w:val="single" w:sz="8" w:space="0" w:color="F1A983"/>
              <w:bottom w:val="single" w:sz="8" w:space="0" w:color="F1A983"/>
              <w:right w:val="single" w:sz="8" w:space="0" w:color="F1A983"/>
            </w:tcBorders>
            <w:shd w:val="clear" w:color="auto" w:fill="FAE2D5"/>
            <w:tcMar>
              <w:top w:w="0" w:type="dxa"/>
              <w:left w:w="100" w:type="dxa"/>
              <w:bottom w:w="0" w:type="dxa"/>
              <w:right w:w="100" w:type="dxa"/>
            </w:tcMar>
          </w:tcPr>
          <w:p w14:paraId="1F34FC56" w14:textId="77777777" w:rsidR="003855A1" w:rsidRPr="00AA2F95" w:rsidRDefault="003855A1" w:rsidP="00AA2F95">
            <w:pPr>
              <w:spacing w:after="0" w:line="240" w:lineRule="auto"/>
              <w:jc w:val="both"/>
              <w:rPr>
                <w:rFonts w:ascii="Times New Roman" w:eastAsia="Times New Roman" w:hAnsi="Times New Roman" w:cs="Times New Roman"/>
              </w:rPr>
            </w:pPr>
            <w:r w:rsidRPr="00AA2F95">
              <w:rPr>
                <w:rFonts w:ascii="Times New Roman" w:eastAsia="Arial" w:hAnsi="Times New Roman" w:cs="Times New Roman"/>
              </w:rPr>
              <w:t>45 minutos</w:t>
            </w:r>
          </w:p>
        </w:tc>
        <w:tc>
          <w:tcPr>
            <w:tcW w:w="3210" w:type="dxa"/>
            <w:tcBorders>
              <w:top w:val="single" w:sz="8" w:space="0" w:color="F1A983"/>
              <w:left w:val="single" w:sz="8" w:space="0" w:color="F1A983"/>
              <w:bottom w:val="single" w:sz="8" w:space="0" w:color="F1A983"/>
              <w:right w:val="single" w:sz="8" w:space="0" w:color="F1A983"/>
            </w:tcBorders>
            <w:shd w:val="clear" w:color="auto" w:fill="FAE2D5"/>
            <w:tcMar>
              <w:top w:w="0" w:type="dxa"/>
              <w:left w:w="100" w:type="dxa"/>
              <w:bottom w:w="0" w:type="dxa"/>
              <w:right w:w="100" w:type="dxa"/>
            </w:tcMar>
          </w:tcPr>
          <w:p w14:paraId="4EC13D18" w14:textId="77777777" w:rsidR="003855A1" w:rsidRPr="00AA2F95" w:rsidRDefault="003855A1" w:rsidP="00AA2F95">
            <w:pPr>
              <w:spacing w:after="0" w:line="240" w:lineRule="auto"/>
              <w:jc w:val="both"/>
              <w:rPr>
                <w:rFonts w:ascii="Times New Roman" w:eastAsia="Times New Roman" w:hAnsi="Times New Roman" w:cs="Times New Roman"/>
              </w:rPr>
            </w:pPr>
            <w:r w:rsidRPr="00AA2F95">
              <w:rPr>
                <w:rFonts w:ascii="Times New Roman" w:eastAsia="Arial" w:hAnsi="Times New Roman" w:cs="Times New Roman"/>
              </w:rPr>
              <w:t>75 minutos</w:t>
            </w:r>
          </w:p>
        </w:tc>
      </w:tr>
    </w:tbl>
    <w:p w14:paraId="623440DB" w14:textId="08DF0B9C" w:rsidR="003855A1" w:rsidRDefault="003855A1" w:rsidP="00AA2F95">
      <w:pPr>
        <w:spacing w:after="0" w:line="240" w:lineRule="auto"/>
        <w:jc w:val="center"/>
        <w:rPr>
          <w:rFonts w:ascii="Times New Roman" w:eastAsia="Times New Roman" w:hAnsi="Times New Roman" w:cs="Times New Roman"/>
        </w:rPr>
      </w:pPr>
      <w:r w:rsidRPr="00AA2F95">
        <w:rPr>
          <w:rFonts w:ascii="Times New Roman" w:eastAsia="Times New Roman" w:hAnsi="Times New Roman" w:cs="Times New Roman"/>
        </w:rPr>
        <w:t xml:space="preserve">Fuente: Adaptado de Simone </w:t>
      </w:r>
      <w:r w:rsidRPr="00AA2F95">
        <w:rPr>
          <w:rFonts w:ascii="Times New Roman" w:eastAsia="Times New Roman" w:hAnsi="Times New Roman" w:cs="Times New Roman"/>
          <w:i/>
          <w:iCs/>
        </w:rPr>
        <w:t>et al.</w:t>
      </w:r>
      <w:r w:rsidRPr="00AA2F95">
        <w:rPr>
          <w:rFonts w:ascii="Times New Roman" w:eastAsia="Times New Roman" w:hAnsi="Times New Roman" w:cs="Times New Roman"/>
        </w:rPr>
        <w:t xml:space="preserve"> (2021).</w:t>
      </w:r>
    </w:p>
    <w:p w14:paraId="391C2C5F" w14:textId="77777777" w:rsidR="00AA2F95" w:rsidRPr="00AA2F95" w:rsidRDefault="00AA2F95" w:rsidP="00AA2F95">
      <w:pPr>
        <w:spacing w:after="0" w:line="240" w:lineRule="auto"/>
        <w:jc w:val="both"/>
        <w:rPr>
          <w:rFonts w:ascii="Times New Roman" w:eastAsia="Times New Roman" w:hAnsi="Times New Roman" w:cs="Times New Roman"/>
        </w:rPr>
      </w:pPr>
    </w:p>
    <w:p w14:paraId="09A8F092" w14:textId="77777777" w:rsidR="003855A1"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bCs/>
        </w:rPr>
        <w:t>3. Evaluación de viabilidad con modelos estratégicos.</w:t>
      </w:r>
      <w:r w:rsidRPr="00AA2F95">
        <w:rPr>
          <w:rFonts w:ascii="Times New Roman" w:eastAsia="Arial" w:hAnsi="Times New Roman" w:cs="Times New Roman"/>
        </w:rPr>
        <w:t xml:space="preserve"> Los hallazgos se integraron al análisis de un BMC adaptado al entorno museístico universitario, el cual reconoce nueve bloques de análisis: </w:t>
      </w:r>
      <w:r w:rsidRPr="00AA2F95">
        <w:rPr>
          <w:rFonts w:ascii="Times New Roman" w:eastAsia="Arial" w:hAnsi="Times New Roman" w:cs="Times New Roman"/>
          <w:bCs/>
        </w:rPr>
        <w:t>segmentos de clientes, propuesta de valor, canales, relaciones con el cliente, fuentes de ingresos, recursos clave, actividades clave, socios estratégicos y estructura de costos</w:t>
      </w:r>
      <w:r w:rsidRPr="00AA2F95">
        <w:rPr>
          <w:rFonts w:ascii="Times New Roman" w:eastAsia="Arial" w:hAnsi="Times New Roman" w:cs="Times New Roman"/>
        </w:rPr>
        <w:t xml:space="preserve">. Se </w:t>
      </w:r>
      <w:r w:rsidRPr="00AA2F95">
        <w:rPr>
          <w:rFonts w:ascii="Times New Roman" w:eastAsia="Arial" w:hAnsi="Times New Roman" w:cs="Times New Roman"/>
        </w:rPr>
        <w:lastRenderedPageBreak/>
        <w:t xml:space="preserve">complementó con herramientas como FODA, CAME, PESTEL y proyecciones financieras a cinco años, estimando indicadores como </w:t>
      </w:r>
      <w:r w:rsidRPr="00AA2F95">
        <w:rPr>
          <w:rFonts w:ascii="Times New Roman" w:eastAsia="Arial" w:hAnsi="Times New Roman" w:cs="Times New Roman"/>
          <w:bCs/>
        </w:rPr>
        <w:t>punto de equilibrio</w:t>
      </w:r>
      <w:r w:rsidRPr="00AA2F95">
        <w:rPr>
          <w:rFonts w:ascii="Times New Roman" w:eastAsia="Arial" w:hAnsi="Times New Roman" w:cs="Times New Roman"/>
        </w:rPr>
        <w:t>, ROI, TIR y VAN.</w:t>
      </w:r>
    </w:p>
    <w:p w14:paraId="70B8E736" w14:textId="77777777" w:rsidR="00AA2F95" w:rsidRP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rPr>
      </w:pPr>
    </w:p>
    <w:p w14:paraId="3121D0CE" w14:textId="77777777" w:rsidR="003855A1"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rPr>
        <w:t>El enfoque de la metodología garantiza la confiabilidad de los resultados del diagnóstico y proporciona solidez para tomar de decisiones estratégicas relacionadas con la transformación digital del museo. Además, sienta un precedente replicable para otros espacios museísticos universitarios que busquen innovar en su función educativa y cultural.</w:t>
      </w:r>
    </w:p>
    <w:p w14:paraId="0B65068C" w14:textId="77777777" w:rsidR="00E4058C" w:rsidRPr="00AA2F95" w:rsidRDefault="00E4058C" w:rsidP="00AA2F95">
      <w:pPr>
        <w:pBdr>
          <w:top w:val="nil"/>
          <w:left w:val="nil"/>
          <w:bottom w:val="nil"/>
          <w:right w:val="nil"/>
          <w:between w:val="nil"/>
        </w:pBdr>
        <w:spacing w:after="0" w:line="240" w:lineRule="auto"/>
        <w:jc w:val="both"/>
        <w:rPr>
          <w:rFonts w:ascii="Times New Roman" w:eastAsia="Arial" w:hAnsi="Times New Roman" w:cs="Times New Roman"/>
        </w:rPr>
      </w:pPr>
    </w:p>
    <w:p w14:paraId="2F052296" w14:textId="77777777" w:rsidR="003855A1" w:rsidRDefault="003855A1" w:rsidP="00AA2F95">
      <w:pPr>
        <w:pBdr>
          <w:top w:val="nil"/>
          <w:left w:val="nil"/>
          <w:bottom w:val="nil"/>
          <w:right w:val="nil"/>
          <w:between w:val="nil"/>
        </w:pBdr>
        <w:spacing w:after="0" w:line="240" w:lineRule="auto"/>
        <w:jc w:val="center"/>
        <w:rPr>
          <w:rFonts w:ascii="Times New Roman" w:eastAsia="Arial" w:hAnsi="Times New Roman" w:cs="Times New Roman"/>
          <w:b/>
        </w:rPr>
      </w:pPr>
      <w:r w:rsidRPr="00AA2F95">
        <w:rPr>
          <w:rFonts w:ascii="Times New Roman" w:eastAsia="Arial" w:hAnsi="Times New Roman" w:cs="Times New Roman"/>
          <w:b/>
        </w:rPr>
        <w:t>Resultados</w:t>
      </w:r>
    </w:p>
    <w:p w14:paraId="09CA6C80" w14:textId="77777777" w:rsid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rPr>
      </w:pPr>
    </w:p>
    <w:p w14:paraId="730C9381" w14:textId="65D7259A" w:rsidR="003855A1"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rPr>
        <w:t>El diagnóstico identificó las condiciones actuales del museo, evaluando elementos clave como accesibilidad, experiencia del visitante, sostenibilidad operativa y disposición del público objetivo hacia propuestas basadas en VR. Los resultados se derivan del análisis documental institucional, de los datos obtenidos de la encuesta y del análisis estratégico bajo el modelo de negocio BMC.</w:t>
      </w:r>
    </w:p>
    <w:p w14:paraId="6FE10511" w14:textId="77777777" w:rsidR="00AA2F95" w:rsidRPr="00AA2F95" w:rsidRDefault="00AA2F95" w:rsidP="00AA2F95">
      <w:pPr>
        <w:pBdr>
          <w:top w:val="nil"/>
          <w:left w:val="nil"/>
          <w:bottom w:val="nil"/>
          <w:right w:val="nil"/>
          <w:between w:val="nil"/>
        </w:pBdr>
        <w:spacing w:after="0" w:line="240" w:lineRule="auto"/>
        <w:ind w:firstLine="284"/>
        <w:jc w:val="both"/>
        <w:rPr>
          <w:rFonts w:ascii="Times New Roman" w:eastAsia="Arial" w:hAnsi="Times New Roman" w:cs="Times New Roman"/>
        </w:rPr>
      </w:pPr>
    </w:p>
    <w:p w14:paraId="4483B2D9" w14:textId="77777777" w:rsidR="003855A1" w:rsidRPr="00AA2F95"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rPr>
        <w:t>1. Preferencias del público objetivo. Las encuestas revelaron que el 85 % de los sondeados considera las experiencias digitales como positivas y enriquecedoras. Asimismo, el 78 % manifestó interés en participar en recorridos virtuales interactivos como alternativa o complemento a los presenciales. El 65 % indicó que no asisten regularmente al museo debido a limitaciones de tiempo, ubicación o falta de información, reforzando la necesidad de soluciones accesibles.</w:t>
      </w:r>
    </w:p>
    <w:p w14:paraId="0C520A1B" w14:textId="77777777" w:rsidR="00AA2F95" w:rsidRP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rPr>
      </w:pPr>
    </w:p>
    <w:p w14:paraId="0B7119C2" w14:textId="77777777" w:rsidR="003855A1" w:rsidRPr="00AA2F95"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rPr>
        <w:t>2. Identificación de barreras. Los principales obstáculos para aplicar las estrategias digitales en el museo son: la carencia de infraestructura tecnológica adecuada, limitada capacitación del personal en herramientas digitales, y falta de estrategias institucionales enfocadas en innovación tecnológica, coincidentes con las barreras reportadas en estudios internacionales sobre transformación digital en espacios culturales (UNESCO, 2020).</w:t>
      </w:r>
    </w:p>
    <w:p w14:paraId="0CF5E2AC" w14:textId="77777777" w:rsidR="003855A1" w:rsidRPr="00AA2F95"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rPr>
        <w:t>Igualmente, los resultados del análisis comparativo de museos con tecnología VR, muestran que, a pesar de los esfuerzos por digitalizar contenidos, muchos carecen de información contextual, elementos interactivos o acompañamiento sonoro significativo (INAH, 2023). Esta evaluación estableció estándares mínimos de calidad, detectando deficiencias recurrentes y extrayendo información que sirvió en el diseño del modelo propuesto para el Museo Universitario, priorizando una experiencia inmersiva, accesible y sostenible.</w:t>
      </w:r>
    </w:p>
    <w:p w14:paraId="5005A6FE" w14:textId="77777777" w:rsidR="003855A1" w:rsidRPr="00AA2F95"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p>
    <w:p w14:paraId="03E43532" w14:textId="77777777" w:rsidR="003855A1" w:rsidRPr="00AA2F95"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p>
    <w:p w14:paraId="64D96740" w14:textId="77777777" w:rsidR="003855A1" w:rsidRPr="00AA2F95"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p>
    <w:p w14:paraId="035AE2E9" w14:textId="77777777" w:rsidR="003855A1"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p>
    <w:p w14:paraId="67000FAE" w14:textId="77777777" w:rsid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rPr>
      </w:pPr>
    </w:p>
    <w:p w14:paraId="5D488452" w14:textId="77777777" w:rsid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rPr>
      </w:pPr>
    </w:p>
    <w:p w14:paraId="73DBF623" w14:textId="77777777" w:rsid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rPr>
      </w:pPr>
    </w:p>
    <w:p w14:paraId="0B933DEA" w14:textId="77777777" w:rsid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rPr>
      </w:pPr>
    </w:p>
    <w:p w14:paraId="62F0004A" w14:textId="77777777" w:rsid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rPr>
      </w:pPr>
    </w:p>
    <w:p w14:paraId="6400E04B" w14:textId="77777777" w:rsidR="00AA2F95" w:rsidRP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rPr>
      </w:pPr>
    </w:p>
    <w:p w14:paraId="50BFC442" w14:textId="77777777" w:rsidR="003855A1" w:rsidRPr="00AA2F95"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p>
    <w:p w14:paraId="67D8F9FB" w14:textId="77777777" w:rsidR="003855A1" w:rsidRPr="00AA2F95"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p>
    <w:p w14:paraId="09FB0281" w14:textId="77777777" w:rsidR="003855A1" w:rsidRPr="00AA2F95"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p>
    <w:p w14:paraId="09318263" w14:textId="77777777" w:rsidR="003855A1" w:rsidRPr="00AA2F95" w:rsidRDefault="003855A1" w:rsidP="00AA2F95">
      <w:pPr>
        <w:pBdr>
          <w:top w:val="nil"/>
          <w:left w:val="nil"/>
          <w:bottom w:val="nil"/>
          <w:right w:val="nil"/>
          <w:between w:val="nil"/>
        </w:pBdr>
        <w:spacing w:after="0" w:line="240" w:lineRule="auto"/>
        <w:jc w:val="center"/>
        <w:rPr>
          <w:rFonts w:ascii="Times New Roman" w:eastAsia="Arial" w:hAnsi="Times New Roman" w:cs="Times New Roman"/>
        </w:rPr>
      </w:pPr>
      <w:r w:rsidRPr="00AA2F95">
        <w:rPr>
          <w:rFonts w:ascii="Times New Roman" w:eastAsia="Arial" w:hAnsi="Times New Roman" w:cs="Times New Roman"/>
        </w:rPr>
        <w:lastRenderedPageBreak/>
        <w:t>Tabla 2: Comparativa entre museos virtuales en México</w:t>
      </w:r>
    </w:p>
    <w:p w14:paraId="4B63C610" w14:textId="77777777" w:rsidR="003855A1" w:rsidRPr="00AA2F95"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p>
    <w:p w14:paraId="4DB23332" w14:textId="77777777" w:rsidR="003855A1" w:rsidRPr="00AA2F95"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hAnsi="Times New Roman" w:cs="Times New Roman"/>
          <w:noProof/>
        </w:rPr>
        <w:drawing>
          <wp:inline distT="0" distB="0" distL="0" distR="0" wp14:anchorId="1378F019" wp14:editId="219F98D2">
            <wp:extent cx="5612130" cy="6938645"/>
            <wp:effectExtent l="0" t="0" r="7620" b="0"/>
            <wp:docPr id="116058475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2130" cy="6938645"/>
                    </a:xfrm>
                    <a:prstGeom prst="rect">
                      <a:avLst/>
                    </a:prstGeom>
                    <a:noFill/>
                    <a:ln>
                      <a:noFill/>
                    </a:ln>
                  </pic:spPr>
                </pic:pic>
              </a:graphicData>
            </a:graphic>
          </wp:inline>
        </w:drawing>
      </w:r>
    </w:p>
    <w:p w14:paraId="4862E7C5" w14:textId="77777777" w:rsidR="003855A1" w:rsidRPr="00AA2F95" w:rsidRDefault="003855A1" w:rsidP="00AA2F95">
      <w:pPr>
        <w:pBdr>
          <w:top w:val="nil"/>
          <w:left w:val="nil"/>
          <w:bottom w:val="nil"/>
          <w:right w:val="nil"/>
          <w:between w:val="nil"/>
        </w:pBdr>
        <w:spacing w:after="0" w:line="240" w:lineRule="auto"/>
        <w:jc w:val="center"/>
        <w:rPr>
          <w:rFonts w:ascii="Times New Roman" w:eastAsia="Arial" w:hAnsi="Times New Roman" w:cs="Times New Roman"/>
        </w:rPr>
      </w:pPr>
      <w:r w:rsidRPr="00AA2F95">
        <w:rPr>
          <w:rFonts w:ascii="Times New Roman" w:eastAsia="Arial" w:hAnsi="Times New Roman" w:cs="Times New Roman"/>
        </w:rPr>
        <w:t>Fuente: Adaptado de INAH (2023).</w:t>
      </w:r>
    </w:p>
    <w:p w14:paraId="15624BE8" w14:textId="77777777" w:rsidR="003855A1" w:rsidRPr="00AA2F95"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p>
    <w:p w14:paraId="7706C6DD" w14:textId="77777777" w:rsidR="003855A1" w:rsidRPr="00AA2F95"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hAnsi="Times New Roman" w:cs="Times New Roman"/>
          <w:noProof/>
        </w:rPr>
        <w:drawing>
          <wp:inline distT="0" distB="0" distL="0" distR="0" wp14:anchorId="02B66A70" wp14:editId="2B1DFC5E">
            <wp:extent cx="5612130" cy="349250"/>
            <wp:effectExtent l="0" t="0" r="0" b="0"/>
            <wp:docPr id="108257624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2130" cy="349250"/>
                    </a:xfrm>
                    <a:prstGeom prst="rect">
                      <a:avLst/>
                    </a:prstGeom>
                    <a:noFill/>
                    <a:ln>
                      <a:noFill/>
                    </a:ln>
                  </pic:spPr>
                </pic:pic>
              </a:graphicData>
            </a:graphic>
          </wp:inline>
        </w:drawing>
      </w:r>
    </w:p>
    <w:p w14:paraId="5A080658" w14:textId="77777777" w:rsidR="003855A1" w:rsidRPr="00AA2F95"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p>
    <w:p w14:paraId="00E833C4" w14:textId="77777777" w:rsidR="003855A1"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bCs/>
        </w:rPr>
        <w:lastRenderedPageBreak/>
        <w:t>3. Análisis del mercado potencial.</w:t>
      </w:r>
      <w:r w:rsidRPr="00AA2F95">
        <w:rPr>
          <w:rFonts w:ascii="Times New Roman" w:eastAsia="Arial" w:hAnsi="Times New Roman" w:cs="Times New Roman"/>
        </w:rPr>
        <w:t xml:space="preserve"> Las métricas TAM, SAM y SOM, determinaron un mercado total alcanzable para las experiencias virtuales de 8 618 estudiantes, 74 % (6 377) constituyen el mercado objetivo con mayor probabilidad de adopción, sustentando el análisis en datos demográficos institucionales y la segmentación de usuarios por comportamiento digital y consumo cultural.</w:t>
      </w:r>
    </w:p>
    <w:p w14:paraId="522A6311" w14:textId="77777777" w:rsidR="00AA2F95" w:rsidRP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rPr>
      </w:pPr>
    </w:p>
    <w:p w14:paraId="671698DA" w14:textId="3F275EE3" w:rsidR="003855A1" w:rsidRPr="00AA2F95" w:rsidRDefault="003855A1" w:rsidP="00AA2F95">
      <w:pPr>
        <w:spacing w:after="0" w:line="240" w:lineRule="auto"/>
        <w:jc w:val="center"/>
        <w:rPr>
          <w:rFonts w:ascii="Times New Roman" w:eastAsia="Arial" w:hAnsi="Times New Roman" w:cs="Times New Roman"/>
        </w:rPr>
      </w:pPr>
      <w:r w:rsidRPr="00AA2F95">
        <w:rPr>
          <w:rFonts w:ascii="Times New Roman" w:hAnsi="Times New Roman" w:cs="Times New Roman"/>
          <w:bCs/>
          <w:noProof/>
        </w:rPr>
        <w:drawing>
          <wp:anchor distT="0" distB="0" distL="114300" distR="114300" simplePos="0" relativeHeight="251661312" behindDoc="0" locked="0" layoutInCell="1" hidden="0" allowOverlap="1" wp14:anchorId="38676609" wp14:editId="71C2477A">
            <wp:simplePos x="0" y="0"/>
            <wp:positionH relativeFrom="column">
              <wp:posOffset>109220</wp:posOffset>
            </wp:positionH>
            <wp:positionV relativeFrom="paragraph">
              <wp:posOffset>178435</wp:posOffset>
            </wp:positionV>
            <wp:extent cx="5283835" cy="2936240"/>
            <wp:effectExtent l="0" t="0" r="0" b="0"/>
            <wp:wrapSquare wrapText="bothSides" distT="0" distB="0" distL="114300" distR="114300"/>
            <wp:docPr id="3" name="image3.png" descr="Gráfico, Gráfico de embudo&#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image3.png" descr="Gráfico, Gráfico de embudo&#10;&#10;Descripción generada automáticamente"/>
                    <pic:cNvPicPr preferRelativeResize="0"/>
                  </pic:nvPicPr>
                  <pic:blipFill>
                    <a:blip r:embed="rId12"/>
                    <a:srcRect/>
                    <a:stretch>
                      <a:fillRect/>
                    </a:stretch>
                  </pic:blipFill>
                  <pic:spPr>
                    <a:xfrm>
                      <a:off x="0" y="0"/>
                      <a:ext cx="5283835" cy="2936240"/>
                    </a:xfrm>
                    <a:prstGeom prst="rect">
                      <a:avLst/>
                    </a:prstGeom>
                    <a:ln/>
                  </pic:spPr>
                </pic:pic>
              </a:graphicData>
            </a:graphic>
            <wp14:sizeRelV relativeFrom="margin">
              <wp14:pctHeight>0</wp14:pctHeight>
            </wp14:sizeRelV>
          </wp:anchor>
        </w:drawing>
      </w:r>
      <w:r w:rsidRPr="00AA2F95">
        <w:rPr>
          <w:rFonts w:ascii="Times New Roman" w:eastAsia="Arial" w:hAnsi="Times New Roman" w:cs="Times New Roman"/>
          <w:bCs/>
        </w:rPr>
        <w:t>Figura 3:</w:t>
      </w:r>
      <w:r w:rsidRPr="00AA2F95">
        <w:rPr>
          <w:rFonts w:ascii="Times New Roman" w:eastAsia="Arial" w:hAnsi="Times New Roman" w:cs="Times New Roman"/>
        </w:rPr>
        <w:t xml:space="preserve"> Mercado potencial.</w:t>
      </w:r>
    </w:p>
    <w:p w14:paraId="68F2DB4E" w14:textId="77777777" w:rsidR="003855A1" w:rsidRPr="00AA2F95" w:rsidRDefault="003855A1" w:rsidP="00AA2F95">
      <w:pPr>
        <w:pStyle w:val="NormalWeb"/>
        <w:spacing w:before="0" w:beforeAutospacing="0" w:after="0" w:afterAutospacing="0"/>
        <w:jc w:val="both"/>
        <w:rPr>
          <w:rFonts w:eastAsia="Arial"/>
        </w:rPr>
      </w:pPr>
      <w:r w:rsidRPr="00AA2F95">
        <w:t>Fuente: Adaptado del Informe Institucional de Labores 2023 de la Universidad de Colima (Torres Ortiz, 2023).</w:t>
      </w:r>
    </w:p>
    <w:p w14:paraId="47D42B28" w14:textId="77777777" w:rsidR="003855A1" w:rsidRPr="00AA2F95" w:rsidRDefault="003855A1" w:rsidP="00AA2F95">
      <w:pPr>
        <w:pBdr>
          <w:top w:val="nil"/>
          <w:left w:val="nil"/>
          <w:bottom w:val="nil"/>
          <w:right w:val="nil"/>
          <w:between w:val="nil"/>
        </w:pBdr>
        <w:spacing w:after="0" w:line="240" w:lineRule="auto"/>
        <w:jc w:val="both"/>
        <w:rPr>
          <w:rFonts w:ascii="Times New Roman" w:eastAsia="Arial" w:hAnsi="Times New Roman" w:cs="Times New Roman"/>
          <w:lang w:val="en-US"/>
        </w:rPr>
      </w:pPr>
      <w:r w:rsidRPr="00AA2F95">
        <w:rPr>
          <w:rFonts w:ascii="Times New Roman" w:hAnsi="Times New Roman" w:cs="Times New Roman"/>
          <w:noProof/>
        </w:rPr>
        <w:drawing>
          <wp:inline distT="0" distB="0" distL="0" distR="0" wp14:anchorId="453CF5DA" wp14:editId="4EB080A4">
            <wp:extent cx="5612130" cy="320675"/>
            <wp:effectExtent l="0" t="0" r="0" b="3175"/>
            <wp:docPr id="70321727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2130" cy="320675"/>
                    </a:xfrm>
                    <a:prstGeom prst="rect">
                      <a:avLst/>
                    </a:prstGeom>
                    <a:noFill/>
                    <a:ln>
                      <a:noFill/>
                    </a:ln>
                  </pic:spPr>
                </pic:pic>
              </a:graphicData>
            </a:graphic>
          </wp:inline>
        </w:drawing>
      </w:r>
    </w:p>
    <w:p w14:paraId="318885FC" w14:textId="77777777" w:rsidR="003855A1" w:rsidRPr="00AA2F95" w:rsidRDefault="003855A1" w:rsidP="00AA2F95">
      <w:pPr>
        <w:pBdr>
          <w:top w:val="nil"/>
          <w:left w:val="nil"/>
          <w:bottom w:val="nil"/>
          <w:right w:val="nil"/>
          <w:between w:val="nil"/>
        </w:pBdr>
        <w:spacing w:after="0" w:line="240" w:lineRule="auto"/>
        <w:jc w:val="both"/>
        <w:rPr>
          <w:rFonts w:ascii="Times New Roman" w:eastAsia="Arial" w:hAnsi="Times New Roman" w:cs="Times New Roman"/>
          <w:b/>
        </w:rPr>
      </w:pPr>
    </w:p>
    <w:p w14:paraId="5D88CFF7" w14:textId="77777777" w:rsidR="003855A1"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bCs/>
        </w:rPr>
        <w:t>4. Evaluación de impacto de VR</w:t>
      </w:r>
      <w:r w:rsidRPr="00AA2F95">
        <w:rPr>
          <w:rFonts w:ascii="Times New Roman" w:eastAsia="Arial" w:hAnsi="Times New Roman" w:cs="Times New Roman"/>
          <w:b/>
        </w:rPr>
        <w:t>.</w:t>
      </w:r>
      <w:r w:rsidRPr="00AA2F95">
        <w:rPr>
          <w:rFonts w:ascii="Times New Roman" w:eastAsia="Arial" w:hAnsi="Times New Roman" w:cs="Times New Roman"/>
        </w:rPr>
        <w:t xml:space="preserve"> Los estudios comparativos y proyecciones establecidas en casos exitosos de museos europeos (Simone </w:t>
      </w:r>
      <w:r w:rsidRPr="00AA2F95">
        <w:rPr>
          <w:rFonts w:ascii="Times New Roman" w:eastAsia="Arial" w:hAnsi="Times New Roman" w:cs="Times New Roman"/>
          <w:i/>
        </w:rPr>
        <w:t>et al.</w:t>
      </w:r>
      <w:r w:rsidRPr="00AA2F95">
        <w:rPr>
          <w:rFonts w:ascii="Times New Roman" w:eastAsia="Arial" w:hAnsi="Times New Roman" w:cs="Times New Roman"/>
        </w:rPr>
        <w:t>, 2021), estimaron que activar recorridos virtuales podría incrementar la satisfacción del visitante del 65 % al 90 %, aumentar el tiempo promedio de permanencia de 45 a 75 minutos y duplicar el retorno de visitas de 40 % a 70 %, datos contrastados con resultados de la encuesta local, obteniendo alta correlación entre las preferencias de los estudiantes y las proyecciones según el coeficiente α de Cronbach.</w:t>
      </w:r>
    </w:p>
    <w:p w14:paraId="3A44E048" w14:textId="77777777" w:rsidR="00AA2F95" w:rsidRP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rPr>
      </w:pPr>
    </w:p>
    <w:p w14:paraId="649F1224" w14:textId="77777777" w:rsidR="003855A1"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bCs/>
        </w:rPr>
        <w:t>5. Viabilidad financiera preliminar.</w:t>
      </w:r>
      <w:r w:rsidRPr="00AA2F95">
        <w:rPr>
          <w:rFonts w:ascii="Times New Roman" w:eastAsia="Arial" w:hAnsi="Times New Roman" w:cs="Times New Roman"/>
        </w:rPr>
        <w:t xml:space="preserve"> El análisis económico-financiero proyecta que el modelo de transformación digital es viable en el mediano plazo, estimando un VAN de $112,420.38, TIR del 39.6 % y ROI del 18.3 %. Además, se reducirá progresiva el punto de equilibrio del 59.82 % al 52.96 % en cinco años, valores que sin duda son optimistas. También se consideran programas de donativos para su sostenibilidad.</w:t>
      </w:r>
    </w:p>
    <w:p w14:paraId="2E18E331" w14:textId="77777777" w:rsidR="00AA2F95" w:rsidRP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rPr>
      </w:pPr>
    </w:p>
    <w:p w14:paraId="4587DFFF" w14:textId="77777777" w:rsidR="003855A1" w:rsidRPr="00AA2F95"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bCs/>
        </w:rPr>
        <w:t>6. Evaluación de riesgo.</w:t>
      </w:r>
      <w:r w:rsidRPr="00AA2F95">
        <w:rPr>
          <w:rFonts w:ascii="Times New Roman" w:eastAsia="Arial" w:hAnsi="Times New Roman" w:cs="Times New Roman"/>
        </w:rPr>
        <w:t xml:space="preserve"> Se valoró el impacto y riesgos empleando matrices de viabilidad y validando del modelo (sostenibilidad y escalabilidad), alineadas con los objetivos y necesidades institucionales, ofreciendo una guía replicable para otros museos.</w:t>
      </w:r>
    </w:p>
    <w:p w14:paraId="08A90937" w14:textId="77777777" w:rsidR="003855A1" w:rsidRPr="00AA2F95" w:rsidRDefault="003855A1" w:rsidP="00AA2F95">
      <w:pPr>
        <w:spacing w:after="0" w:line="240" w:lineRule="auto"/>
        <w:jc w:val="both"/>
        <w:rPr>
          <w:rFonts w:ascii="Times New Roman" w:eastAsia="Arial" w:hAnsi="Times New Roman" w:cs="Times New Roman"/>
        </w:rPr>
        <w:sectPr w:rsidR="003855A1" w:rsidRPr="00AA2F95" w:rsidSect="003855A1">
          <w:pgSz w:w="12240" w:h="15840"/>
          <w:pgMar w:top="1417" w:right="1701" w:bottom="1417" w:left="1701" w:header="708" w:footer="708" w:gutter="0"/>
          <w:pgNumType w:start="1"/>
          <w:cols w:space="720"/>
        </w:sectPr>
      </w:pPr>
    </w:p>
    <w:p w14:paraId="57D332B5" w14:textId="77777777" w:rsidR="003855A1" w:rsidRPr="00AA2F95" w:rsidRDefault="003855A1" w:rsidP="00AA2F95">
      <w:pPr>
        <w:spacing w:after="0" w:line="240" w:lineRule="auto"/>
        <w:jc w:val="both"/>
        <w:rPr>
          <w:rFonts w:ascii="Times New Roman" w:eastAsia="Arial" w:hAnsi="Times New Roman" w:cs="Times New Roman"/>
        </w:rPr>
      </w:pPr>
      <w:r w:rsidRPr="00AA2F95">
        <w:rPr>
          <w:rFonts w:ascii="Times New Roman" w:hAnsi="Times New Roman" w:cs="Times New Roman"/>
          <w:noProof/>
        </w:rPr>
        <w:lastRenderedPageBreak/>
        <w:drawing>
          <wp:inline distT="0" distB="0" distL="0" distR="0" wp14:anchorId="6443E240" wp14:editId="1B4BA6D1">
            <wp:extent cx="8258810" cy="4124325"/>
            <wp:effectExtent l="0" t="0" r="8890" b="9525"/>
            <wp:docPr id="64223615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58810" cy="4124325"/>
                    </a:xfrm>
                    <a:prstGeom prst="rect">
                      <a:avLst/>
                    </a:prstGeom>
                    <a:noFill/>
                    <a:ln>
                      <a:noFill/>
                    </a:ln>
                  </pic:spPr>
                </pic:pic>
              </a:graphicData>
            </a:graphic>
          </wp:inline>
        </w:drawing>
      </w:r>
    </w:p>
    <w:p w14:paraId="5C4D3EA4" w14:textId="77777777" w:rsidR="003855A1" w:rsidRPr="00AA2F95" w:rsidRDefault="003855A1" w:rsidP="00AA2F95">
      <w:pPr>
        <w:spacing w:after="0" w:line="240" w:lineRule="auto"/>
        <w:jc w:val="both"/>
        <w:rPr>
          <w:rFonts w:ascii="Times New Roman" w:eastAsia="Arial" w:hAnsi="Times New Roman" w:cs="Times New Roman"/>
        </w:rPr>
      </w:pPr>
      <w:r w:rsidRPr="00AA2F95">
        <w:rPr>
          <w:rFonts w:ascii="Times New Roman" w:hAnsi="Times New Roman" w:cs="Times New Roman"/>
          <w:noProof/>
        </w:rPr>
        <w:drawing>
          <wp:inline distT="0" distB="0" distL="0" distR="0" wp14:anchorId="404B532D" wp14:editId="24C2C87B">
            <wp:extent cx="8258810" cy="1297940"/>
            <wp:effectExtent l="0" t="0" r="8890" b="0"/>
            <wp:docPr id="162718466"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58810" cy="1297940"/>
                    </a:xfrm>
                    <a:prstGeom prst="rect">
                      <a:avLst/>
                    </a:prstGeom>
                    <a:noFill/>
                    <a:ln>
                      <a:noFill/>
                    </a:ln>
                  </pic:spPr>
                </pic:pic>
              </a:graphicData>
            </a:graphic>
          </wp:inline>
        </w:drawing>
      </w:r>
    </w:p>
    <w:p w14:paraId="1A690135" w14:textId="77777777" w:rsidR="003855A1" w:rsidRPr="00AA2F95" w:rsidRDefault="003855A1" w:rsidP="00AA2F95">
      <w:pPr>
        <w:spacing w:after="0" w:line="240" w:lineRule="auto"/>
        <w:jc w:val="both"/>
        <w:rPr>
          <w:rFonts w:ascii="Times New Roman" w:eastAsia="Arial" w:hAnsi="Times New Roman" w:cs="Times New Roman"/>
        </w:rPr>
      </w:pPr>
      <w:r w:rsidRPr="00AA2F95">
        <w:rPr>
          <w:rFonts w:ascii="Times New Roman" w:hAnsi="Times New Roman" w:cs="Times New Roman"/>
          <w:noProof/>
        </w:rPr>
        <w:lastRenderedPageBreak/>
        <w:drawing>
          <wp:inline distT="0" distB="0" distL="0" distR="0" wp14:anchorId="5F91D612" wp14:editId="78CE6400">
            <wp:extent cx="8258810" cy="4686300"/>
            <wp:effectExtent l="0" t="0" r="8890" b="0"/>
            <wp:docPr id="1895221301"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58810" cy="4686300"/>
                    </a:xfrm>
                    <a:prstGeom prst="rect">
                      <a:avLst/>
                    </a:prstGeom>
                    <a:noFill/>
                    <a:ln>
                      <a:noFill/>
                    </a:ln>
                  </pic:spPr>
                </pic:pic>
              </a:graphicData>
            </a:graphic>
          </wp:inline>
        </w:drawing>
      </w:r>
    </w:p>
    <w:p w14:paraId="496009BF" w14:textId="77777777" w:rsidR="003855A1" w:rsidRPr="00AA2F95" w:rsidRDefault="003855A1" w:rsidP="00AA2F95">
      <w:pPr>
        <w:spacing w:after="0" w:line="240" w:lineRule="auto"/>
        <w:jc w:val="center"/>
        <w:rPr>
          <w:rFonts w:ascii="Times New Roman" w:eastAsia="Arial" w:hAnsi="Times New Roman" w:cs="Times New Roman"/>
        </w:rPr>
      </w:pPr>
      <w:r w:rsidRPr="00AA2F95">
        <w:rPr>
          <w:rFonts w:ascii="Times New Roman" w:eastAsia="Arial" w:hAnsi="Times New Roman" w:cs="Times New Roman"/>
        </w:rPr>
        <w:t>Fuente: Elaboración propia</w:t>
      </w:r>
    </w:p>
    <w:p w14:paraId="0462C6C6" w14:textId="77777777" w:rsidR="003855A1" w:rsidRPr="00AA2F95" w:rsidRDefault="003855A1" w:rsidP="00AA2F95">
      <w:pPr>
        <w:spacing w:after="0" w:line="240" w:lineRule="auto"/>
        <w:jc w:val="both"/>
        <w:rPr>
          <w:rFonts w:ascii="Times New Roman" w:eastAsia="Times New Roman" w:hAnsi="Times New Roman" w:cs="Times New Roman"/>
          <w:iCs/>
        </w:rPr>
      </w:pPr>
      <w:r w:rsidRPr="00AA2F95">
        <w:rPr>
          <w:rFonts w:ascii="Times New Roman" w:hAnsi="Times New Roman" w:cs="Times New Roman"/>
          <w:noProof/>
        </w:rPr>
        <w:drawing>
          <wp:inline distT="0" distB="0" distL="0" distR="0" wp14:anchorId="20DF50AF" wp14:editId="322706A4">
            <wp:extent cx="5613400" cy="533400"/>
            <wp:effectExtent l="0" t="0" r="0" b="0"/>
            <wp:docPr id="20271338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3400" cy="533400"/>
                    </a:xfrm>
                    <a:prstGeom prst="rect">
                      <a:avLst/>
                    </a:prstGeom>
                    <a:noFill/>
                    <a:ln>
                      <a:noFill/>
                    </a:ln>
                  </pic:spPr>
                </pic:pic>
              </a:graphicData>
            </a:graphic>
          </wp:inline>
        </w:drawing>
      </w:r>
    </w:p>
    <w:p w14:paraId="5C7039FF" w14:textId="77777777" w:rsidR="003855A1" w:rsidRPr="00AA2F95" w:rsidRDefault="003855A1" w:rsidP="00AA2F95">
      <w:pPr>
        <w:spacing w:after="0" w:line="240" w:lineRule="auto"/>
        <w:jc w:val="both"/>
        <w:rPr>
          <w:rFonts w:ascii="Times New Roman" w:eastAsia="Arial" w:hAnsi="Times New Roman" w:cs="Times New Roman"/>
        </w:rPr>
        <w:sectPr w:rsidR="003855A1" w:rsidRPr="00AA2F95" w:rsidSect="003855A1">
          <w:pgSz w:w="15840" w:h="12240" w:orient="landscape"/>
          <w:pgMar w:top="1701" w:right="1417" w:bottom="1701" w:left="1417" w:header="708" w:footer="708" w:gutter="0"/>
          <w:pgNumType w:start="1"/>
          <w:cols w:space="720"/>
          <w:docGrid w:linePitch="299"/>
        </w:sectPr>
      </w:pPr>
    </w:p>
    <w:p w14:paraId="586DE1F3" w14:textId="77777777" w:rsidR="003855A1"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5C0240">
        <w:rPr>
          <w:rFonts w:ascii="Times New Roman" w:eastAsia="Arial" w:hAnsi="Times New Roman" w:cs="Times New Roman"/>
          <w:bCs/>
        </w:rPr>
        <w:lastRenderedPageBreak/>
        <w:t>7. Potencial institucional y alianzas estratégicas.</w:t>
      </w:r>
      <w:r w:rsidRPr="00AA2F95">
        <w:rPr>
          <w:rFonts w:ascii="Times New Roman" w:eastAsia="Arial" w:hAnsi="Times New Roman" w:cs="Times New Roman"/>
        </w:rPr>
        <w:t xml:space="preserve"> Los resultados del diagnóstico señalaron oportunidades dentro de la propia Universidad que apoyan la aplicación del proyecto, incluyendo la colaboración de la Dirección General de Servicios Telemáticos, planteles académicos de diseño, ingeniería y comunicación, así como la adición de estudiantes en prácticas profesionales y servicio social para el desarrollo de contenidos digitales. </w:t>
      </w:r>
    </w:p>
    <w:p w14:paraId="1A084F44" w14:textId="77777777" w:rsidR="005C0240" w:rsidRPr="00AA2F95" w:rsidRDefault="005C0240" w:rsidP="00AA2F95">
      <w:pPr>
        <w:pBdr>
          <w:top w:val="nil"/>
          <w:left w:val="nil"/>
          <w:bottom w:val="nil"/>
          <w:right w:val="nil"/>
          <w:between w:val="nil"/>
        </w:pBdr>
        <w:spacing w:after="0" w:line="240" w:lineRule="auto"/>
        <w:jc w:val="both"/>
        <w:rPr>
          <w:rFonts w:ascii="Times New Roman" w:eastAsia="Arial" w:hAnsi="Times New Roman" w:cs="Times New Roman"/>
        </w:rPr>
      </w:pPr>
    </w:p>
    <w:p w14:paraId="0A81F9DA" w14:textId="77777777" w:rsidR="003855A1"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rPr>
        <w:t>Los hallazgos respaldan la necesidad y viabilidad de una propuesta de transformación digital y proporcionan un cimiento sólido para su implementación. Y refuerzan el papel del museo como espacio estratégico para la innovación cultural y educativa dentro del ecosistema universitario.</w:t>
      </w:r>
    </w:p>
    <w:p w14:paraId="5D772179" w14:textId="77777777" w:rsidR="005C0240" w:rsidRPr="00AA2F95" w:rsidRDefault="005C0240" w:rsidP="00AA2F95">
      <w:pPr>
        <w:pBdr>
          <w:top w:val="nil"/>
          <w:left w:val="nil"/>
          <w:bottom w:val="nil"/>
          <w:right w:val="nil"/>
          <w:between w:val="nil"/>
        </w:pBdr>
        <w:spacing w:after="0" w:line="240" w:lineRule="auto"/>
        <w:jc w:val="both"/>
        <w:rPr>
          <w:rFonts w:ascii="Times New Roman" w:eastAsia="Arial" w:hAnsi="Times New Roman" w:cs="Times New Roman"/>
        </w:rPr>
      </w:pPr>
    </w:p>
    <w:p w14:paraId="375ADA1E" w14:textId="77777777" w:rsidR="003855A1" w:rsidRDefault="003855A1" w:rsidP="005C0240">
      <w:pPr>
        <w:pBdr>
          <w:top w:val="nil"/>
          <w:left w:val="nil"/>
          <w:bottom w:val="nil"/>
          <w:right w:val="nil"/>
          <w:between w:val="nil"/>
        </w:pBdr>
        <w:spacing w:after="0" w:line="240" w:lineRule="auto"/>
        <w:jc w:val="center"/>
        <w:rPr>
          <w:rFonts w:ascii="Times New Roman" w:eastAsia="Arial" w:hAnsi="Times New Roman" w:cs="Times New Roman"/>
          <w:b/>
        </w:rPr>
      </w:pPr>
      <w:r w:rsidRPr="00AA2F95">
        <w:rPr>
          <w:rFonts w:ascii="Times New Roman" w:eastAsia="Arial" w:hAnsi="Times New Roman" w:cs="Times New Roman"/>
          <w:b/>
        </w:rPr>
        <w:t>Discusión</w:t>
      </w:r>
    </w:p>
    <w:p w14:paraId="6D6750F7" w14:textId="77777777" w:rsidR="005C0240" w:rsidRDefault="005C0240" w:rsidP="005C0240">
      <w:pPr>
        <w:spacing w:after="0" w:line="240" w:lineRule="auto"/>
        <w:jc w:val="both"/>
        <w:rPr>
          <w:rFonts w:ascii="Times New Roman" w:eastAsia="Arial" w:hAnsi="Times New Roman" w:cs="Times New Roman"/>
        </w:rPr>
      </w:pPr>
    </w:p>
    <w:p w14:paraId="336E7409" w14:textId="1706729B" w:rsidR="003855A1" w:rsidRDefault="003855A1" w:rsidP="005C0240">
      <w:pPr>
        <w:spacing w:after="0" w:line="240" w:lineRule="auto"/>
        <w:jc w:val="both"/>
        <w:rPr>
          <w:rFonts w:ascii="Times New Roman" w:eastAsia="Arial" w:hAnsi="Times New Roman" w:cs="Times New Roman"/>
        </w:rPr>
      </w:pPr>
      <w:r w:rsidRPr="00AA2F95">
        <w:rPr>
          <w:rFonts w:ascii="Times New Roman" w:eastAsia="Arial" w:hAnsi="Times New Roman" w:cs="Times New Roman"/>
        </w:rPr>
        <w:t xml:space="preserve">Los resultados del diagnóstico ayudan a reflexionar sobre el papel de las tecnologías emergentes en la experiencia museística universitaria. El 85% de los estudiantes encuestados valoró positivamente las experiencias digitales, sugiriendo que la VR facilita una interacción cultural más accesible y atractiva para los públicos jóvenes. Este descubrimiento coincide con estudios internacionales como los de Simone </w:t>
      </w:r>
      <w:r w:rsidRPr="00AA2F95">
        <w:rPr>
          <w:rFonts w:ascii="Times New Roman" w:eastAsia="Arial" w:hAnsi="Times New Roman" w:cs="Times New Roman"/>
          <w:i/>
        </w:rPr>
        <w:t>et al.</w:t>
      </w:r>
      <w:r w:rsidRPr="00AA2F95">
        <w:rPr>
          <w:rFonts w:ascii="Times New Roman" w:eastAsia="Arial" w:hAnsi="Times New Roman" w:cs="Times New Roman"/>
        </w:rPr>
        <w:t xml:space="preserve"> (2021) y UNESCO (2020), que destacan mejoras en la satisfacción del visitante, y en su retorno, tras implementar tecnologías inmersivas.</w:t>
      </w:r>
    </w:p>
    <w:p w14:paraId="2584D816" w14:textId="77777777" w:rsidR="005C0240" w:rsidRPr="00AA2F95" w:rsidRDefault="005C0240" w:rsidP="00AA2F95">
      <w:pPr>
        <w:spacing w:after="0" w:line="240" w:lineRule="auto"/>
        <w:ind w:firstLine="284"/>
        <w:jc w:val="both"/>
        <w:rPr>
          <w:rFonts w:ascii="Times New Roman" w:eastAsia="Arial" w:hAnsi="Times New Roman" w:cs="Times New Roman"/>
        </w:rPr>
      </w:pPr>
    </w:p>
    <w:p w14:paraId="2F664D85" w14:textId="77777777" w:rsidR="003855A1" w:rsidRDefault="003855A1" w:rsidP="00AA2F95">
      <w:pPr>
        <w:spacing w:after="0" w:line="240" w:lineRule="auto"/>
        <w:jc w:val="both"/>
        <w:rPr>
          <w:rFonts w:ascii="Times New Roman" w:eastAsia="Arial" w:hAnsi="Times New Roman" w:cs="Times New Roman"/>
        </w:rPr>
      </w:pPr>
      <w:r w:rsidRPr="00AA2F95">
        <w:rPr>
          <w:rFonts w:ascii="Times New Roman" w:eastAsia="Arial" w:hAnsi="Times New Roman" w:cs="Times New Roman"/>
        </w:rPr>
        <w:t>Sin embargo, la ejecución enfrenta limitaciones estructurales, como la carencia de infraestructura tecnológica y la nula formación del personal, obstáculos frecuentes en museos universitarios de países en desarrollo, revelando la necesidad de fortalecer políticas institucionales de innovación cultural.</w:t>
      </w:r>
    </w:p>
    <w:p w14:paraId="01A7BB99" w14:textId="77777777" w:rsidR="005C0240" w:rsidRPr="00AA2F95" w:rsidRDefault="005C0240" w:rsidP="00AA2F95">
      <w:pPr>
        <w:spacing w:after="0" w:line="240" w:lineRule="auto"/>
        <w:jc w:val="both"/>
        <w:rPr>
          <w:rFonts w:ascii="Times New Roman" w:eastAsia="Arial" w:hAnsi="Times New Roman" w:cs="Times New Roman"/>
        </w:rPr>
      </w:pPr>
    </w:p>
    <w:p w14:paraId="02B8AF67" w14:textId="77777777" w:rsidR="003855A1" w:rsidRDefault="003855A1" w:rsidP="00AA2F95">
      <w:pPr>
        <w:spacing w:after="0" w:line="240" w:lineRule="auto"/>
        <w:jc w:val="both"/>
        <w:rPr>
          <w:rFonts w:ascii="Times New Roman" w:eastAsia="Arial" w:hAnsi="Times New Roman" w:cs="Times New Roman"/>
        </w:rPr>
      </w:pPr>
      <w:r w:rsidRPr="00AA2F95">
        <w:rPr>
          <w:rFonts w:ascii="Times New Roman" w:eastAsia="Arial" w:hAnsi="Times New Roman" w:cs="Times New Roman"/>
        </w:rPr>
        <w:t>Los indicadores financieros —VAN positivo, TIR del 39.6% y ROI del 18.3%— muestran que el modelo es viable, aunque su éxito dependerá de efectuarlo eficazmente. Además, el análisis de mercado estableció un segmento clave de más de seis mil estudiantes con afinidad digital, reforzando la idea de integrar recorridos virtuales como herramienta pedagógica y cultural.</w:t>
      </w:r>
    </w:p>
    <w:p w14:paraId="648E04D0" w14:textId="77777777" w:rsidR="005C0240" w:rsidRPr="00AA2F95" w:rsidRDefault="005C0240" w:rsidP="00AA2F95">
      <w:pPr>
        <w:spacing w:after="0" w:line="240" w:lineRule="auto"/>
        <w:jc w:val="both"/>
        <w:rPr>
          <w:rFonts w:ascii="Times New Roman" w:eastAsia="Arial" w:hAnsi="Times New Roman" w:cs="Times New Roman"/>
        </w:rPr>
      </w:pPr>
    </w:p>
    <w:p w14:paraId="022DABDB" w14:textId="77777777" w:rsidR="003855A1" w:rsidRDefault="003855A1" w:rsidP="00AA2F95">
      <w:pPr>
        <w:spacing w:after="0" w:line="240" w:lineRule="auto"/>
        <w:jc w:val="both"/>
        <w:rPr>
          <w:rFonts w:ascii="Times New Roman" w:eastAsia="Arial" w:hAnsi="Times New Roman" w:cs="Times New Roman"/>
        </w:rPr>
      </w:pPr>
      <w:r w:rsidRPr="00AA2F95">
        <w:rPr>
          <w:rFonts w:ascii="Times New Roman" w:eastAsia="Arial" w:hAnsi="Times New Roman" w:cs="Times New Roman"/>
        </w:rPr>
        <w:t>El ecosistema universitario ofrece condiciones favorables para que la estrategia de digitalización museística progrese utilizando talento académico, capacidades técnicas en formación y apertura institucional. Estos elementos configuran un escenario propicio para la transformación digital sostenible y pertinente.</w:t>
      </w:r>
    </w:p>
    <w:p w14:paraId="50AF881D" w14:textId="77777777" w:rsidR="005C0240" w:rsidRPr="00AA2F95" w:rsidRDefault="005C0240" w:rsidP="00AA2F95">
      <w:pPr>
        <w:spacing w:after="0" w:line="240" w:lineRule="auto"/>
        <w:jc w:val="both"/>
        <w:rPr>
          <w:rFonts w:ascii="Times New Roman" w:eastAsia="Arial" w:hAnsi="Times New Roman" w:cs="Times New Roman"/>
        </w:rPr>
      </w:pPr>
    </w:p>
    <w:p w14:paraId="2D26B532" w14:textId="77777777" w:rsidR="003855A1" w:rsidRDefault="003855A1" w:rsidP="005C0240">
      <w:pPr>
        <w:pBdr>
          <w:top w:val="nil"/>
          <w:left w:val="nil"/>
          <w:bottom w:val="nil"/>
          <w:right w:val="nil"/>
          <w:between w:val="nil"/>
        </w:pBdr>
        <w:spacing w:after="0" w:line="240" w:lineRule="auto"/>
        <w:jc w:val="center"/>
        <w:rPr>
          <w:rFonts w:ascii="Times New Roman" w:eastAsia="Arial" w:hAnsi="Times New Roman" w:cs="Times New Roman"/>
          <w:b/>
        </w:rPr>
      </w:pPr>
      <w:r w:rsidRPr="00AA2F95">
        <w:rPr>
          <w:rFonts w:ascii="Times New Roman" w:eastAsia="Arial" w:hAnsi="Times New Roman" w:cs="Times New Roman"/>
          <w:b/>
        </w:rPr>
        <w:t>Conclusiones</w:t>
      </w:r>
    </w:p>
    <w:p w14:paraId="14157A6D" w14:textId="77777777" w:rsidR="005C0240" w:rsidRDefault="005C0240" w:rsidP="005C0240">
      <w:pPr>
        <w:pBdr>
          <w:top w:val="nil"/>
          <w:left w:val="nil"/>
          <w:bottom w:val="nil"/>
          <w:right w:val="nil"/>
          <w:between w:val="nil"/>
        </w:pBdr>
        <w:spacing w:after="0" w:line="240" w:lineRule="auto"/>
        <w:jc w:val="both"/>
        <w:rPr>
          <w:rFonts w:ascii="Times New Roman" w:eastAsia="Arial" w:hAnsi="Times New Roman" w:cs="Times New Roman"/>
        </w:rPr>
      </w:pPr>
    </w:p>
    <w:p w14:paraId="41021853" w14:textId="54246A79" w:rsidR="003855A1" w:rsidRDefault="003855A1" w:rsidP="005C0240">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rPr>
        <w:t>El diagnóstico expuso que el Museo Universitario enfrenta desafíos estructurales que dificultan su transición hacia una gestión cultural alineada con el consumo cultural en entornos digitales. Entre los principales obstáculos se encuentran la limitada infraestructura tecnológica, falta de formación especializada del personal en herramientas digitales y escasa visibilidad institucional, constatando la necesidad de instaurar estrategias integrales que superen dichas limitaciones hacia la transformación digital sostenible.</w:t>
      </w:r>
    </w:p>
    <w:p w14:paraId="40B73AB7" w14:textId="77777777" w:rsidR="005C0240" w:rsidRPr="00AA2F95" w:rsidRDefault="005C0240" w:rsidP="005C0240">
      <w:pPr>
        <w:pBdr>
          <w:top w:val="nil"/>
          <w:left w:val="nil"/>
          <w:bottom w:val="nil"/>
          <w:right w:val="nil"/>
          <w:between w:val="nil"/>
        </w:pBdr>
        <w:spacing w:after="0" w:line="240" w:lineRule="auto"/>
        <w:jc w:val="both"/>
        <w:rPr>
          <w:rFonts w:ascii="Times New Roman" w:eastAsia="Arial" w:hAnsi="Times New Roman" w:cs="Times New Roman"/>
        </w:rPr>
      </w:pPr>
    </w:p>
    <w:p w14:paraId="086C0032" w14:textId="77777777" w:rsidR="003855A1" w:rsidRPr="00AA2F95"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rPr>
        <w:lastRenderedPageBreak/>
        <w:t>Los datos de la encuesta reflejan un alto nivel de interés y disposición hacia experiencias digitales, especialmente aquellas relacionadas con recorridos virtuales interactivos. Este hallazgo justifica la pertinencia de incorporar tecnologías inmersivas (como VR) dentro de una estrategia que mejore la experiencia museística, aumente el acceso al patrimonio cultural y fortalezca el papel educativo del museo en el ecosistema universitario.</w:t>
      </w:r>
    </w:p>
    <w:p w14:paraId="3250420D" w14:textId="77777777" w:rsidR="003855A1"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rPr>
        <w:t>El análisis del mercado potencial mostró que existe un segmento objetivo amplio y bien definido de más de 6,300 estudiantes con afinidad digital, representando una oportunidad estratégica para diversificar la oferta museística y consolidar al museo como un recurso accesible y pertinente para las nuevas generaciones. Asimismo, el estudio de viabilidad financiera evidenció resultados alentadores —VAN positivo, TIR del 39.6% y ROI del 18.3%— revelando la sostenibilidad económica de la propuesta a mediano plazo frente a los modelos tradicionales.</w:t>
      </w:r>
    </w:p>
    <w:p w14:paraId="22D3C331" w14:textId="77777777" w:rsidR="005C0240" w:rsidRPr="00AA2F95" w:rsidRDefault="005C0240" w:rsidP="00AA2F95">
      <w:pPr>
        <w:pBdr>
          <w:top w:val="nil"/>
          <w:left w:val="nil"/>
          <w:bottom w:val="nil"/>
          <w:right w:val="nil"/>
          <w:between w:val="nil"/>
        </w:pBdr>
        <w:spacing w:after="0" w:line="240" w:lineRule="auto"/>
        <w:jc w:val="both"/>
        <w:rPr>
          <w:rFonts w:ascii="Times New Roman" w:eastAsia="Arial" w:hAnsi="Times New Roman" w:cs="Times New Roman"/>
        </w:rPr>
      </w:pPr>
    </w:p>
    <w:p w14:paraId="4C02B5ED" w14:textId="77777777" w:rsidR="003855A1"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rPr>
        <w:t>La integración de la VR no solo es una solución tecnológica, es una herramienta transformadora que redefine procesos institucionales y fortalece vínculos entre cultura, educación e innovación. Este diagnóstico también externó que existen condiciones internas favorables para avanzar en la digitalización museística basada en tecnologías inmersivas, como la disponibilidad de talento universitario, capacidades técnicas en formación y una creciente apertura institucional hacia la innovación educativa y cultural.</w:t>
      </w:r>
    </w:p>
    <w:p w14:paraId="5BEDAA67" w14:textId="77777777" w:rsidR="005C0240" w:rsidRPr="00AA2F95" w:rsidRDefault="005C0240" w:rsidP="00AA2F95">
      <w:pPr>
        <w:pBdr>
          <w:top w:val="nil"/>
          <w:left w:val="nil"/>
          <w:bottom w:val="nil"/>
          <w:right w:val="nil"/>
          <w:between w:val="nil"/>
        </w:pBdr>
        <w:spacing w:after="0" w:line="240" w:lineRule="auto"/>
        <w:jc w:val="both"/>
        <w:rPr>
          <w:rFonts w:ascii="Times New Roman" w:eastAsia="Arial" w:hAnsi="Times New Roman" w:cs="Times New Roman"/>
        </w:rPr>
      </w:pPr>
    </w:p>
    <w:p w14:paraId="1F0A30B2" w14:textId="77777777" w:rsidR="003855A1"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rPr>
        <w:t>No obstante, se recomienda que el proceso de implementación inicie con proyectos «piloto» que validen en la práctica los supuestos teóricos y ajusten los componentes planteados en función de los resultados obtenidos. Una estrategia progresiva garantizará la adopción contextualizada, eficaz y sostenible de tecnologías emergentes dentro del Museo universitario Fernando del Paso.</w:t>
      </w:r>
    </w:p>
    <w:p w14:paraId="0FBE14E4" w14:textId="77777777" w:rsidR="00AA2F95" w:rsidRP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rPr>
      </w:pPr>
    </w:p>
    <w:p w14:paraId="64FAF035" w14:textId="77777777" w:rsidR="003855A1" w:rsidRDefault="003855A1" w:rsidP="00AA2F95">
      <w:pPr>
        <w:pBdr>
          <w:top w:val="nil"/>
          <w:left w:val="nil"/>
          <w:bottom w:val="nil"/>
          <w:right w:val="nil"/>
          <w:between w:val="nil"/>
        </w:pBdr>
        <w:spacing w:after="0" w:line="240" w:lineRule="auto"/>
        <w:jc w:val="center"/>
        <w:rPr>
          <w:rFonts w:ascii="Times New Roman" w:eastAsia="Arial" w:hAnsi="Times New Roman" w:cs="Times New Roman"/>
          <w:b/>
        </w:rPr>
      </w:pPr>
      <w:r w:rsidRPr="00AA2F95">
        <w:rPr>
          <w:rFonts w:ascii="Times New Roman" w:eastAsia="Arial" w:hAnsi="Times New Roman" w:cs="Times New Roman"/>
          <w:b/>
        </w:rPr>
        <w:t>Futuras líneas de investigación</w:t>
      </w:r>
    </w:p>
    <w:p w14:paraId="0B76EEA2" w14:textId="77777777" w:rsidR="00AA2F95" w:rsidRP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rPr>
      </w:pPr>
    </w:p>
    <w:p w14:paraId="09DE0F67" w14:textId="77777777" w:rsidR="003855A1" w:rsidRDefault="003855A1" w:rsidP="005C0240">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rPr>
        <w:t xml:space="preserve">En el diagnóstico se identificaron diversas áreas que pueden ser exploradas en estudios posteriores. Una línea prioritaria consiste en la evaluación del impacto real de la implementación de recorridos virtuales mediante estudios «piloto» con variables como la satisfacción del visitante, incremento de visitas y aprendizaje significativo (Díaz Barriga, 2002). Sería pertinente analizar los efectos de estas tecnologías en públicos externos a la comunidad universitaria, ampliando el alcance social del museo. </w:t>
      </w:r>
    </w:p>
    <w:p w14:paraId="575BB9ED" w14:textId="77777777" w:rsidR="00AA2F95" w:rsidRPr="00AA2F95" w:rsidRDefault="00AA2F95" w:rsidP="00AA2F95">
      <w:pPr>
        <w:pBdr>
          <w:top w:val="nil"/>
          <w:left w:val="nil"/>
          <w:bottom w:val="nil"/>
          <w:right w:val="nil"/>
          <w:between w:val="nil"/>
        </w:pBdr>
        <w:spacing w:after="0" w:line="240" w:lineRule="auto"/>
        <w:ind w:firstLine="708"/>
        <w:jc w:val="both"/>
        <w:rPr>
          <w:rFonts w:ascii="Times New Roman" w:eastAsia="Arial" w:hAnsi="Times New Roman" w:cs="Times New Roman"/>
        </w:rPr>
      </w:pPr>
    </w:p>
    <w:p w14:paraId="27019658" w14:textId="77777777" w:rsidR="003855A1"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rPr>
        <w:t>Otra línea de interés es el desarrollo de modelos pedagógicos asentados en experiencias inmersivas que integren contenidos museográficos en entornos educativos formales.</w:t>
      </w:r>
    </w:p>
    <w:p w14:paraId="7E4F5CAF" w14:textId="77777777" w:rsidR="00AA2F95" w:rsidRPr="00AA2F95" w:rsidRDefault="00AA2F95" w:rsidP="00AA2F95">
      <w:pPr>
        <w:pBdr>
          <w:top w:val="nil"/>
          <w:left w:val="nil"/>
          <w:bottom w:val="nil"/>
          <w:right w:val="nil"/>
          <w:between w:val="nil"/>
        </w:pBdr>
        <w:spacing w:after="0" w:line="240" w:lineRule="auto"/>
        <w:jc w:val="both"/>
        <w:rPr>
          <w:rFonts w:ascii="Times New Roman" w:eastAsia="Arial" w:hAnsi="Times New Roman" w:cs="Times New Roman"/>
        </w:rPr>
      </w:pPr>
    </w:p>
    <w:p w14:paraId="02F18317" w14:textId="77777777" w:rsidR="003855A1" w:rsidRPr="00AA2F95"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r w:rsidRPr="00AA2F95">
        <w:rPr>
          <w:rFonts w:ascii="Times New Roman" w:eastAsia="Arial" w:hAnsi="Times New Roman" w:cs="Times New Roman"/>
        </w:rPr>
        <w:t>Finalmente, se propone investigar el uso complementario de tecnologías emergentes como la IA y la realidad aumentada enriqueciendo la personalización y accesibilidad de las exposiciones digitales. Estas líneas componen un enfoque de transformación digital integral, escalable y replicable en otros contextos museísticos universitarios de México y América Latina.</w:t>
      </w:r>
    </w:p>
    <w:p w14:paraId="063ECA06" w14:textId="77777777" w:rsidR="003855A1" w:rsidRDefault="003855A1" w:rsidP="00AA2F95">
      <w:pPr>
        <w:pBdr>
          <w:top w:val="nil"/>
          <w:left w:val="nil"/>
          <w:bottom w:val="nil"/>
          <w:right w:val="nil"/>
          <w:between w:val="nil"/>
        </w:pBdr>
        <w:spacing w:after="0" w:line="240" w:lineRule="auto"/>
        <w:jc w:val="both"/>
        <w:rPr>
          <w:rFonts w:ascii="Times New Roman" w:eastAsia="Arial" w:hAnsi="Times New Roman" w:cs="Times New Roman"/>
        </w:rPr>
      </w:pPr>
    </w:p>
    <w:p w14:paraId="4EBEB41B" w14:textId="77777777" w:rsidR="005C0240" w:rsidRDefault="005C0240" w:rsidP="00AA2F95">
      <w:pPr>
        <w:pBdr>
          <w:top w:val="nil"/>
          <w:left w:val="nil"/>
          <w:bottom w:val="nil"/>
          <w:right w:val="nil"/>
          <w:between w:val="nil"/>
        </w:pBdr>
        <w:spacing w:after="0" w:line="240" w:lineRule="auto"/>
        <w:jc w:val="both"/>
        <w:rPr>
          <w:rFonts w:ascii="Times New Roman" w:eastAsia="Arial" w:hAnsi="Times New Roman" w:cs="Times New Roman"/>
        </w:rPr>
      </w:pPr>
    </w:p>
    <w:p w14:paraId="5FEB7430" w14:textId="77777777" w:rsidR="005C0240" w:rsidRDefault="005C0240" w:rsidP="00AA2F95">
      <w:pPr>
        <w:pBdr>
          <w:top w:val="nil"/>
          <w:left w:val="nil"/>
          <w:bottom w:val="nil"/>
          <w:right w:val="nil"/>
          <w:between w:val="nil"/>
        </w:pBdr>
        <w:spacing w:after="0" w:line="240" w:lineRule="auto"/>
        <w:jc w:val="both"/>
        <w:rPr>
          <w:rFonts w:ascii="Times New Roman" w:eastAsia="Arial" w:hAnsi="Times New Roman" w:cs="Times New Roman"/>
        </w:rPr>
      </w:pPr>
    </w:p>
    <w:p w14:paraId="1C0AA264" w14:textId="77777777" w:rsidR="005C0240" w:rsidRPr="00AA2F95" w:rsidRDefault="005C0240" w:rsidP="00AA2F95">
      <w:pPr>
        <w:pBdr>
          <w:top w:val="nil"/>
          <w:left w:val="nil"/>
          <w:bottom w:val="nil"/>
          <w:right w:val="nil"/>
          <w:between w:val="nil"/>
        </w:pBdr>
        <w:spacing w:after="0" w:line="240" w:lineRule="auto"/>
        <w:jc w:val="both"/>
        <w:rPr>
          <w:rFonts w:ascii="Times New Roman" w:eastAsia="Arial" w:hAnsi="Times New Roman" w:cs="Times New Roman"/>
        </w:rPr>
      </w:pPr>
    </w:p>
    <w:p w14:paraId="31D8F24B" w14:textId="77777777" w:rsidR="003855A1" w:rsidRDefault="003855A1" w:rsidP="00AA2F95">
      <w:pPr>
        <w:pBdr>
          <w:top w:val="nil"/>
          <w:left w:val="nil"/>
          <w:bottom w:val="nil"/>
          <w:right w:val="nil"/>
          <w:between w:val="nil"/>
        </w:pBdr>
        <w:spacing w:after="0" w:line="240" w:lineRule="auto"/>
        <w:jc w:val="center"/>
        <w:rPr>
          <w:rFonts w:ascii="Times New Roman" w:eastAsia="Arial" w:hAnsi="Times New Roman" w:cs="Times New Roman"/>
          <w:b/>
        </w:rPr>
      </w:pPr>
      <w:r w:rsidRPr="00AA2F95">
        <w:rPr>
          <w:rFonts w:ascii="Times New Roman" w:eastAsia="Arial" w:hAnsi="Times New Roman" w:cs="Times New Roman"/>
          <w:b/>
        </w:rPr>
        <w:lastRenderedPageBreak/>
        <w:t>Referencias</w:t>
      </w:r>
    </w:p>
    <w:p w14:paraId="5A59217F" w14:textId="77777777" w:rsidR="00AA2F95" w:rsidRPr="00AA2F95" w:rsidRDefault="00AA2F95" w:rsidP="00AA2F95">
      <w:pPr>
        <w:pBdr>
          <w:top w:val="nil"/>
          <w:left w:val="nil"/>
          <w:bottom w:val="nil"/>
          <w:right w:val="nil"/>
          <w:between w:val="nil"/>
        </w:pBdr>
        <w:spacing w:after="0" w:line="240" w:lineRule="auto"/>
        <w:jc w:val="center"/>
        <w:rPr>
          <w:rFonts w:ascii="Times New Roman" w:eastAsia="Arial" w:hAnsi="Times New Roman" w:cs="Times New Roman"/>
          <w:b/>
        </w:rPr>
      </w:pPr>
    </w:p>
    <w:p w14:paraId="6AD3F4DC" w14:textId="77777777" w:rsidR="003855A1" w:rsidRPr="00AA2F95" w:rsidRDefault="003855A1" w:rsidP="00AA2F95">
      <w:pPr>
        <w:spacing w:after="0" w:line="240" w:lineRule="auto"/>
        <w:ind w:left="284" w:hanging="284"/>
        <w:jc w:val="both"/>
        <w:rPr>
          <w:rFonts w:ascii="Times New Roman" w:eastAsia="Arial" w:hAnsi="Times New Roman" w:cs="Times New Roman"/>
        </w:rPr>
      </w:pPr>
      <w:r w:rsidRPr="00AA2F95">
        <w:rPr>
          <w:rFonts w:ascii="Times New Roman" w:eastAsia="Arial" w:hAnsi="Times New Roman" w:cs="Times New Roman"/>
          <w:lang w:val="en-US"/>
        </w:rPr>
        <w:t xml:space="preserve">Cecotti, H. (2022). </w:t>
      </w:r>
      <w:r w:rsidRPr="00AA2F95">
        <w:rPr>
          <w:rFonts w:ascii="Times New Roman" w:eastAsia="Arial" w:hAnsi="Times New Roman" w:cs="Times New Roman"/>
          <w:i/>
          <w:lang w:val="en-US"/>
        </w:rPr>
        <w:t>Virtual reality applications in cultural heritage: A survey</w:t>
      </w:r>
      <w:r w:rsidRPr="00AA2F95">
        <w:rPr>
          <w:rFonts w:ascii="Times New Roman" w:eastAsia="Arial" w:hAnsi="Times New Roman" w:cs="Times New Roman"/>
          <w:lang w:val="en-US"/>
        </w:rPr>
        <w:t xml:space="preserve">. </w:t>
      </w:r>
      <w:r w:rsidRPr="00AA2F95">
        <w:rPr>
          <w:rFonts w:ascii="Times New Roman" w:eastAsia="Arial" w:hAnsi="Times New Roman" w:cs="Times New Roman"/>
        </w:rPr>
        <w:t>Virtual Reality, 26(1), 57–73.</w:t>
      </w:r>
    </w:p>
    <w:p w14:paraId="606593C5" w14:textId="77777777" w:rsidR="003855A1" w:rsidRPr="00AA2F95" w:rsidRDefault="003855A1" w:rsidP="00AA2F95">
      <w:pPr>
        <w:spacing w:after="0" w:line="240" w:lineRule="auto"/>
        <w:ind w:left="284" w:hanging="284"/>
        <w:jc w:val="both"/>
        <w:rPr>
          <w:rFonts w:ascii="Times New Roman" w:eastAsia="Arial" w:hAnsi="Times New Roman" w:cs="Times New Roman"/>
          <w:lang w:val="en-US"/>
        </w:rPr>
      </w:pPr>
      <w:r w:rsidRPr="00AA2F95">
        <w:rPr>
          <w:rFonts w:ascii="Times New Roman" w:eastAsia="Arial" w:hAnsi="Times New Roman" w:cs="Times New Roman"/>
        </w:rPr>
        <w:t xml:space="preserve">Díaz Barriga, Frida (2002). Estrategias docentes para un aprendizaje significativo. </w:t>
      </w:r>
      <w:r w:rsidRPr="00AA2F95">
        <w:rPr>
          <w:rFonts w:ascii="Times New Roman" w:eastAsia="Arial" w:hAnsi="Times New Roman" w:cs="Times New Roman"/>
          <w:lang w:val="en-US"/>
        </w:rPr>
        <w:t>Una interpretación constructivista. Mc Graw Hill. pp. 19 - 20.</w:t>
      </w:r>
    </w:p>
    <w:p w14:paraId="33E2C7C1" w14:textId="77777777" w:rsidR="003855A1" w:rsidRPr="00AA2F95" w:rsidRDefault="003855A1" w:rsidP="00AA2F95">
      <w:pPr>
        <w:spacing w:after="0" w:line="240" w:lineRule="auto"/>
        <w:ind w:left="284" w:hanging="284"/>
        <w:jc w:val="both"/>
        <w:rPr>
          <w:rFonts w:ascii="Times New Roman" w:eastAsia="Arial" w:hAnsi="Times New Roman" w:cs="Times New Roman"/>
          <w:lang w:val="en-US"/>
        </w:rPr>
      </w:pPr>
      <w:r w:rsidRPr="00AA2F95">
        <w:rPr>
          <w:rFonts w:ascii="Times New Roman" w:eastAsia="Arial" w:hAnsi="Times New Roman" w:cs="Times New Roman"/>
          <w:lang w:val="en-US"/>
        </w:rPr>
        <w:t xml:space="preserve">Kotarba, M. (2018). </w:t>
      </w:r>
      <w:r w:rsidRPr="00AA2F95">
        <w:rPr>
          <w:rFonts w:ascii="Times New Roman" w:eastAsia="Arial" w:hAnsi="Times New Roman" w:cs="Times New Roman"/>
          <w:i/>
          <w:lang w:val="en-US"/>
        </w:rPr>
        <w:t>Digital transformation of business models</w:t>
      </w:r>
      <w:r w:rsidRPr="00AA2F95">
        <w:rPr>
          <w:rFonts w:ascii="Times New Roman" w:eastAsia="Arial" w:hAnsi="Times New Roman" w:cs="Times New Roman"/>
          <w:lang w:val="en-US"/>
        </w:rPr>
        <w:t>. Foundations of Management, 10(1), 123–142.</w:t>
      </w:r>
    </w:p>
    <w:p w14:paraId="1E161321" w14:textId="77777777" w:rsidR="003855A1" w:rsidRPr="00AA2F95" w:rsidRDefault="003855A1" w:rsidP="00AA2F95">
      <w:pPr>
        <w:spacing w:after="0" w:line="240" w:lineRule="auto"/>
        <w:ind w:left="284" w:hanging="284"/>
        <w:jc w:val="both"/>
        <w:rPr>
          <w:rFonts w:ascii="Times New Roman" w:eastAsia="Arial" w:hAnsi="Times New Roman" w:cs="Times New Roman"/>
          <w:lang w:val="en-US"/>
        </w:rPr>
      </w:pPr>
      <w:r w:rsidRPr="00AA2F95">
        <w:rPr>
          <w:rFonts w:ascii="Times New Roman" w:eastAsia="Arial" w:hAnsi="Times New Roman" w:cs="Times New Roman"/>
        </w:rPr>
        <w:t xml:space="preserve">Martínez, H., Ferrer, A., Perales, F.J., &amp; Jiménez, L.M. (2019). </w:t>
      </w:r>
      <w:r w:rsidRPr="00AA2F95">
        <w:rPr>
          <w:rFonts w:ascii="Times New Roman" w:eastAsia="Arial" w:hAnsi="Times New Roman" w:cs="Times New Roman"/>
          <w:i/>
          <w:lang w:val="en-US"/>
        </w:rPr>
        <w:t>Photogrammetry and 3D modelling in cultural heritage: A systematic review</w:t>
      </w:r>
      <w:r w:rsidRPr="00AA2F95">
        <w:rPr>
          <w:rFonts w:ascii="Times New Roman" w:eastAsia="Arial" w:hAnsi="Times New Roman" w:cs="Times New Roman"/>
          <w:lang w:val="en-US"/>
        </w:rPr>
        <w:t>. International Journal of Heritage Studies, 25(7), 700–715.</w:t>
      </w:r>
    </w:p>
    <w:p w14:paraId="4FE88E90" w14:textId="77777777" w:rsidR="003855A1" w:rsidRPr="00AA2F95" w:rsidRDefault="003855A1" w:rsidP="00AA2F95">
      <w:pPr>
        <w:spacing w:after="0" w:line="240" w:lineRule="auto"/>
        <w:ind w:left="284" w:hanging="284"/>
        <w:jc w:val="both"/>
        <w:rPr>
          <w:rFonts w:ascii="Times New Roman" w:eastAsia="Arial" w:hAnsi="Times New Roman" w:cs="Times New Roman"/>
          <w:lang w:val="en-US"/>
        </w:rPr>
      </w:pPr>
      <w:r w:rsidRPr="00AA2F95">
        <w:rPr>
          <w:rFonts w:ascii="Times New Roman" w:eastAsia="Arial" w:hAnsi="Times New Roman" w:cs="Times New Roman"/>
          <w:lang w:val="en-US"/>
        </w:rPr>
        <w:t xml:space="preserve">Nisiotis, L., Albano, G., Beer, L., Ioannidis, Y., &amp; Kenderdine, S. (2019). </w:t>
      </w:r>
      <w:r w:rsidRPr="00AA2F95">
        <w:rPr>
          <w:rFonts w:ascii="Times New Roman" w:eastAsia="Arial" w:hAnsi="Times New Roman" w:cs="Times New Roman"/>
          <w:i/>
          <w:lang w:val="en-US"/>
        </w:rPr>
        <w:t>Emerging Technologies for Virtual Cultural Heritage</w:t>
      </w:r>
      <w:r w:rsidRPr="00AA2F95">
        <w:rPr>
          <w:rFonts w:ascii="Times New Roman" w:eastAsia="Arial" w:hAnsi="Times New Roman" w:cs="Times New Roman"/>
          <w:lang w:val="en-US"/>
        </w:rPr>
        <w:t>. IEEE Transactions on Visualization and Computer Graphics, 25(12), 3235–3249.</w:t>
      </w:r>
    </w:p>
    <w:p w14:paraId="27B1FF48" w14:textId="77777777" w:rsidR="003855A1" w:rsidRPr="00AA2F95" w:rsidRDefault="003855A1" w:rsidP="00AA2F95">
      <w:pPr>
        <w:spacing w:after="0" w:line="240" w:lineRule="auto"/>
        <w:ind w:left="284" w:hanging="284"/>
        <w:jc w:val="both"/>
        <w:rPr>
          <w:rFonts w:ascii="Times New Roman" w:eastAsia="Arial" w:hAnsi="Times New Roman" w:cs="Times New Roman"/>
          <w:lang w:val="en-US"/>
        </w:rPr>
      </w:pPr>
      <w:r w:rsidRPr="00AA2F95">
        <w:rPr>
          <w:rFonts w:ascii="Times New Roman" w:eastAsia="Arial" w:hAnsi="Times New Roman" w:cs="Times New Roman"/>
          <w:lang w:val="en-US"/>
        </w:rPr>
        <w:t xml:space="preserve">Puspasari, N., Lubis, F.M., Suhendra, I.W., Wibawa, S.C., &amp; Nurcahyo, R. (2021). </w:t>
      </w:r>
      <w:r w:rsidRPr="00AA2F95">
        <w:rPr>
          <w:rFonts w:ascii="Times New Roman" w:eastAsia="Arial" w:hAnsi="Times New Roman" w:cs="Times New Roman"/>
          <w:i/>
          <w:lang w:val="en-US"/>
        </w:rPr>
        <w:t>Risk analysis for virtual museum implementation</w:t>
      </w:r>
      <w:r w:rsidRPr="00AA2F95">
        <w:rPr>
          <w:rFonts w:ascii="Times New Roman" w:eastAsia="Arial" w:hAnsi="Times New Roman" w:cs="Times New Roman"/>
          <w:lang w:val="en-US"/>
        </w:rPr>
        <w:t>. Journal of Physics: Conference Series, 1844(1), 012–020.</w:t>
      </w:r>
    </w:p>
    <w:p w14:paraId="729B463E" w14:textId="77777777" w:rsidR="003855A1" w:rsidRPr="00AA2F95" w:rsidRDefault="003855A1" w:rsidP="00AA2F95">
      <w:pPr>
        <w:spacing w:after="0" w:line="240" w:lineRule="auto"/>
        <w:ind w:left="284" w:hanging="284"/>
        <w:jc w:val="both"/>
        <w:rPr>
          <w:rFonts w:ascii="Times New Roman" w:eastAsia="Arial" w:hAnsi="Times New Roman" w:cs="Times New Roman"/>
          <w:lang w:val="en-US"/>
        </w:rPr>
      </w:pPr>
      <w:r w:rsidRPr="00AA2F95">
        <w:rPr>
          <w:rFonts w:ascii="Times New Roman" w:eastAsia="Arial" w:hAnsi="Times New Roman" w:cs="Times New Roman"/>
        </w:rPr>
        <w:t xml:space="preserve">Simone, A., Vaglini, G., &amp; Casati, S. (2021). </w:t>
      </w:r>
      <w:r w:rsidRPr="00AA2F95">
        <w:rPr>
          <w:rFonts w:ascii="Times New Roman" w:eastAsia="Arial" w:hAnsi="Times New Roman" w:cs="Times New Roman"/>
          <w:i/>
          <w:lang w:val="en-US"/>
        </w:rPr>
        <w:t>Museums and virtual reality: The European experience post COVID-19</w:t>
      </w:r>
      <w:r w:rsidRPr="00AA2F95">
        <w:rPr>
          <w:rFonts w:ascii="Times New Roman" w:eastAsia="Arial" w:hAnsi="Times New Roman" w:cs="Times New Roman"/>
          <w:lang w:val="en-US"/>
        </w:rPr>
        <w:t>. Digital Culture Journal, 17(2), 180–200.</w:t>
      </w:r>
    </w:p>
    <w:p w14:paraId="49E2B79A" w14:textId="77777777" w:rsidR="003855A1" w:rsidRPr="00AA2F95" w:rsidRDefault="003855A1" w:rsidP="00AA2F95">
      <w:pPr>
        <w:spacing w:after="0" w:line="240" w:lineRule="auto"/>
        <w:ind w:left="284" w:hanging="284"/>
        <w:jc w:val="both"/>
        <w:rPr>
          <w:rFonts w:ascii="Times New Roman" w:eastAsia="Arial" w:hAnsi="Times New Roman" w:cs="Times New Roman"/>
          <w:lang w:val="en-US"/>
        </w:rPr>
      </w:pPr>
      <w:r w:rsidRPr="00AA2F95">
        <w:rPr>
          <w:rFonts w:ascii="Times New Roman" w:eastAsia="Arial" w:hAnsi="Times New Roman" w:cs="Times New Roman"/>
          <w:lang w:val="en-US"/>
        </w:rPr>
        <w:t xml:space="preserve">Statista. (2022). </w:t>
      </w:r>
      <w:r w:rsidRPr="00AA2F95">
        <w:rPr>
          <w:rFonts w:ascii="Times New Roman" w:eastAsia="Arial" w:hAnsi="Times New Roman" w:cs="Times New Roman"/>
          <w:i/>
          <w:lang w:val="en-US"/>
        </w:rPr>
        <w:t>Importance of digital experiences in museums for Millennials and Generation Z</w:t>
      </w:r>
      <w:r w:rsidRPr="00AA2F95">
        <w:rPr>
          <w:rFonts w:ascii="Times New Roman" w:eastAsia="Arial" w:hAnsi="Times New Roman" w:cs="Times New Roman"/>
          <w:lang w:val="en-US"/>
        </w:rPr>
        <w:t xml:space="preserve">. Incluir la fecha de recuperación  </w:t>
      </w:r>
      <w:hyperlink r:id="rId18">
        <w:r w:rsidRPr="00AA2F95">
          <w:rPr>
            <w:rFonts w:ascii="Times New Roman" w:eastAsia="Arial" w:hAnsi="Times New Roman" w:cs="Times New Roman"/>
            <w:u w:val="single"/>
            <w:lang w:val="en-US"/>
          </w:rPr>
          <w:t>https://www.statista.com</w:t>
        </w:r>
      </w:hyperlink>
    </w:p>
    <w:p w14:paraId="19AA6B2F" w14:textId="77777777" w:rsidR="003855A1" w:rsidRPr="00AA2F95" w:rsidRDefault="003855A1" w:rsidP="00AA2F95">
      <w:pPr>
        <w:spacing w:after="0" w:line="240" w:lineRule="auto"/>
        <w:ind w:left="284" w:hanging="284"/>
        <w:jc w:val="both"/>
        <w:rPr>
          <w:rFonts w:ascii="Times New Roman" w:eastAsia="Arial" w:hAnsi="Times New Roman" w:cs="Times New Roman"/>
          <w:lang w:val="en-US"/>
        </w:rPr>
      </w:pPr>
      <w:r w:rsidRPr="00AA2F95">
        <w:rPr>
          <w:rFonts w:ascii="Times New Roman" w:eastAsia="Arial" w:hAnsi="Times New Roman" w:cs="Times New Roman"/>
        </w:rPr>
        <w:t xml:space="preserve">Tham, A., Sigala, M., &amp; Clark, H. (2023). </w:t>
      </w:r>
      <w:r w:rsidRPr="00AA2F95">
        <w:rPr>
          <w:rFonts w:ascii="Times New Roman" w:eastAsia="Arial" w:hAnsi="Times New Roman" w:cs="Times New Roman"/>
          <w:i/>
          <w:lang w:val="en-US"/>
        </w:rPr>
        <w:t>Visitor preferences and technology adoption in museums</w:t>
      </w:r>
      <w:r w:rsidRPr="00AA2F95">
        <w:rPr>
          <w:rFonts w:ascii="Times New Roman" w:eastAsia="Arial" w:hAnsi="Times New Roman" w:cs="Times New Roman"/>
          <w:lang w:val="en-US"/>
        </w:rPr>
        <w:t>. International Journal of Culture, Tourism and Hospitality Research, 17(1), 56–74.</w:t>
      </w:r>
    </w:p>
    <w:p w14:paraId="39DEB48E" w14:textId="77777777" w:rsidR="003855A1" w:rsidRPr="00AA2F95" w:rsidRDefault="003855A1" w:rsidP="00AA2F95">
      <w:pPr>
        <w:spacing w:after="0" w:line="240" w:lineRule="auto"/>
        <w:ind w:left="284" w:hanging="284"/>
        <w:jc w:val="both"/>
        <w:rPr>
          <w:rFonts w:ascii="Times New Roman" w:eastAsia="Arial" w:hAnsi="Times New Roman" w:cs="Times New Roman"/>
        </w:rPr>
      </w:pPr>
      <w:r w:rsidRPr="00AA2F95">
        <w:rPr>
          <w:rFonts w:ascii="Times New Roman" w:eastAsia="Arial" w:hAnsi="Times New Roman" w:cs="Times New Roman"/>
          <w:lang w:val="en-US"/>
        </w:rPr>
        <w:t xml:space="preserve">Torres Ortiz Zermeño, C. (2023). </w:t>
      </w:r>
      <w:r w:rsidRPr="00AA2F95">
        <w:rPr>
          <w:rFonts w:ascii="Times New Roman" w:eastAsia="Arial" w:hAnsi="Times New Roman" w:cs="Times New Roman"/>
          <w:i/>
        </w:rPr>
        <w:t>Informe Institucional de Labores</w:t>
      </w:r>
      <w:r w:rsidRPr="00AA2F95">
        <w:rPr>
          <w:rFonts w:ascii="Times New Roman" w:eastAsia="Arial" w:hAnsi="Times New Roman" w:cs="Times New Roman"/>
        </w:rPr>
        <w:t>. Universidad de Colima, México.</w:t>
      </w:r>
    </w:p>
    <w:p w14:paraId="2FC17431" w14:textId="77777777" w:rsidR="003855A1" w:rsidRPr="00AA2F95" w:rsidRDefault="003855A1" w:rsidP="00AA2F95">
      <w:pPr>
        <w:spacing w:after="0" w:line="240" w:lineRule="auto"/>
        <w:ind w:left="284" w:hanging="284"/>
        <w:jc w:val="both"/>
        <w:rPr>
          <w:rFonts w:ascii="Times New Roman" w:eastAsia="Arial" w:hAnsi="Times New Roman" w:cs="Times New Roman"/>
          <w:b/>
        </w:rPr>
      </w:pPr>
      <w:r w:rsidRPr="00AA2F95">
        <w:rPr>
          <w:rFonts w:ascii="Times New Roman" w:eastAsia="Arial" w:hAnsi="Times New Roman" w:cs="Times New Roman"/>
          <w:lang w:val="en-US"/>
        </w:rPr>
        <w:t xml:space="preserve">UNESCO. (2020). </w:t>
      </w:r>
      <w:r w:rsidRPr="00AA2F95">
        <w:rPr>
          <w:rFonts w:ascii="Times New Roman" w:eastAsia="Arial" w:hAnsi="Times New Roman" w:cs="Times New Roman"/>
          <w:i/>
          <w:lang w:val="en-US"/>
        </w:rPr>
        <w:t>Museums around the world in the face of COVID-19</w:t>
      </w:r>
      <w:r w:rsidRPr="00AA2F95">
        <w:rPr>
          <w:rFonts w:ascii="Times New Roman" w:eastAsia="Arial" w:hAnsi="Times New Roman" w:cs="Times New Roman"/>
          <w:lang w:val="en-US"/>
        </w:rPr>
        <w:t xml:space="preserve">. </w:t>
      </w:r>
      <w:r w:rsidRPr="00AA2F95">
        <w:rPr>
          <w:rFonts w:ascii="Times New Roman" w:eastAsia="Arial" w:hAnsi="Times New Roman" w:cs="Times New Roman"/>
        </w:rPr>
        <w:t xml:space="preserve">UNESCO Report. Recuperado el 11 de junio de 2024, de </w:t>
      </w:r>
      <w:hyperlink r:id="rId19">
        <w:r w:rsidRPr="00AA2F95">
          <w:rPr>
            <w:rFonts w:ascii="Times New Roman" w:eastAsia="Arial" w:hAnsi="Times New Roman" w:cs="Times New Roman"/>
            <w:u w:val="single"/>
          </w:rPr>
          <w:t>https://unesdoc.unesco.org</w:t>
        </w:r>
      </w:hyperlink>
    </w:p>
    <w:p w14:paraId="73429AF8" w14:textId="7B03FAA0" w:rsidR="00AD3F4C" w:rsidRPr="00AA2F95" w:rsidRDefault="00AD3F4C" w:rsidP="00AA2F95">
      <w:pPr>
        <w:tabs>
          <w:tab w:val="left" w:pos="6330"/>
        </w:tabs>
        <w:spacing w:after="0" w:line="240" w:lineRule="auto"/>
        <w:jc w:val="both"/>
        <w:rPr>
          <w:rFonts w:ascii="Times New Roman" w:hAnsi="Times New Roman" w:cs="Times New Roman"/>
        </w:rPr>
      </w:pPr>
    </w:p>
    <w:sectPr w:rsidR="00AD3F4C" w:rsidRPr="00AA2F95" w:rsidSect="00AD3F4C">
      <w:footerReference w:type="default" r:id="rId20"/>
      <w:pgSz w:w="12240" w:h="15840"/>
      <w:pgMar w:top="1417" w:right="1701" w:bottom="1417" w:left="1701"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B5661" w14:textId="77777777" w:rsidR="00AA04F0" w:rsidRDefault="00AA04F0" w:rsidP="00AD3F4C">
      <w:pPr>
        <w:spacing w:after="0" w:line="240" w:lineRule="auto"/>
      </w:pPr>
      <w:r>
        <w:separator/>
      </w:r>
    </w:p>
  </w:endnote>
  <w:endnote w:type="continuationSeparator" w:id="0">
    <w:p w14:paraId="169BED7F" w14:textId="77777777" w:rsidR="00AA04F0" w:rsidRDefault="00AA04F0" w:rsidP="00AD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60E3" w14:textId="0F471140" w:rsidR="00AD3F4C" w:rsidRDefault="00AD3F4C">
    <w:pPr>
      <w:pStyle w:val="Piedepgina"/>
    </w:pPr>
    <w:r>
      <w:rPr>
        <w:rFonts w:cstheme="minorHAnsi"/>
        <w:b/>
      </w:rPr>
      <w:t xml:space="preserve">             </w:t>
    </w:r>
    <w:r w:rsidRPr="00F44F95">
      <w:rPr>
        <w:rFonts w:cstheme="minorHAnsi"/>
        <w:b/>
      </w:rPr>
      <w:t>Vol. 1</w:t>
    </w:r>
    <w:r>
      <w:rPr>
        <w:rFonts w:cstheme="minorHAnsi"/>
        <w:b/>
      </w:rPr>
      <w:t>2</w:t>
    </w:r>
    <w:r w:rsidRPr="00F44F95">
      <w:rPr>
        <w:rFonts w:cstheme="minorHAnsi"/>
        <w:b/>
      </w:rPr>
      <w:t xml:space="preserve">, Núm. </w:t>
    </w:r>
    <w:r>
      <w:rPr>
        <w:rFonts w:cstheme="minorHAnsi"/>
        <w:b/>
      </w:rPr>
      <w:t>24</w:t>
    </w:r>
    <w:r w:rsidRPr="00F44F95">
      <w:rPr>
        <w:rFonts w:cstheme="minorHAnsi"/>
        <w:b/>
      </w:rPr>
      <w:t xml:space="preserve">                  </w:t>
    </w:r>
    <w:r>
      <w:rPr>
        <w:rFonts w:cstheme="minorHAnsi"/>
        <w:b/>
      </w:rPr>
      <w:t>Julio – Diciembre 2025</w:t>
    </w:r>
    <w:r w:rsidRPr="00F44F95">
      <w:rPr>
        <w:rFonts w:cstheme="minorHAnsi"/>
        <w:b/>
      </w:rPr>
      <w:t xml:space="preserve">                        ISSN: 2448 – </w:t>
    </w:r>
    <w:r w:rsidR="002366CC">
      <w:rPr>
        <w:rFonts w:cstheme="minorHAnsi"/>
        <w:b/>
      </w:rPr>
      <w:t>6493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0B34A" w14:textId="77777777" w:rsidR="00AA04F0" w:rsidRDefault="00AA04F0" w:rsidP="00AD3F4C">
      <w:pPr>
        <w:spacing w:after="0" w:line="240" w:lineRule="auto"/>
      </w:pPr>
      <w:r>
        <w:separator/>
      </w:r>
    </w:p>
  </w:footnote>
  <w:footnote w:type="continuationSeparator" w:id="0">
    <w:p w14:paraId="54B67FD1" w14:textId="77777777" w:rsidR="00AA04F0" w:rsidRDefault="00AA04F0" w:rsidP="00AD3F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B0"/>
    <w:rsid w:val="00043DE0"/>
    <w:rsid w:val="00084408"/>
    <w:rsid w:val="00134351"/>
    <w:rsid w:val="001A3A24"/>
    <w:rsid w:val="002366CC"/>
    <w:rsid w:val="00284765"/>
    <w:rsid w:val="00326F3B"/>
    <w:rsid w:val="00361A4E"/>
    <w:rsid w:val="003855A1"/>
    <w:rsid w:val="00402192"/>
    <w:rsid w:val="004763E9"/>
    <w:rsid w:val="005475EB"/>
    <w:rsid w:val="00557262"/>
    <w:rsid w:val="00567ED5"/>
    <w:rsid w:val="005C0240"/>
    <w:rsid w:val="005E6E08"/>
    <w:rsid w:val="0064338F"/>
    <w:rsid w:val="00654CBD"/>
    <w:rsid w:val="006A3F3F"/>
    <w:rsid w:val="00753C17"/>
    <w:rsid w:val="007C4380"/>
    <w:rsid w:val="007C7B0C"/>
    <w:rsid w:val="00885B8B"/>
    <w:rsid w:val="008901AD"/>
    <w:rsid w:val="00957599"/>
    <w:rsid w:val="00960259"/>
    <w:rsid w:val="00993450"/>
    <w:rsid w:val="00A724B0"/>
    <w:rsid w:val="00A95075"/>
    <w:rsid w:val="00AA04F0"/>
    <w:rsid w:val="00AA2F95"/>
    <w:rsid w:val="00AD3F4C"/>
    <w:rsid w:val="00B40C40"/>
    <w:rsid w:val="00B555B4"/>
    <w:rsid w:val="00C37DEA"/>
    <w:rsid w:val="00CD496E"/>
    <w:rsid w:val="00D963D2"/>
    <w:rsid w:val="00DF7DA2"/>
    <w:rsid w:val="00E4058C"/>
    <w:rsid w:val="00E847D1"/>
    <w:rsid w:val="00FA21DB"/>
    <w:rsid w:val="00FB3F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FF2B"/>
  <w15:chartTrackingRefBased/>
  <w15:docId w15:val="{3B4E9FCC-CD6E-424A-B4F3-3A659B50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2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4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4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4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4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4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724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724B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724B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724B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724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24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24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24B0"/>
    <w:rPr>
      <w:rFonts w:eastAsiaTheme="majorEastAsia" w:cstheme="majorBidi"/>
      <w:color w:val="272727" w:themeColor="text1" w:themeTint="D8"/>
    </w:rPr>
  </w:style>
  <w:style w:type="paragraph" w:styleId="Ttulo">
    <w:name w:val="Title"/>
    <w:basedOn w:val="Normal"/>
    <w:next w:val="Normal"/>
    <w:link w:val="TtuloCar"/>
    <w:uiPriority w:val="10"/>
    <w:qFormat/>
    <w:rsid w:val="00A72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24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24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24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4B0"/>
    <w:pPr>
      <w:spacing w:before="160"/>
      <w:jc w:val="center"/>
    </w:pPr>
    <w:rPr>
      <w:i/>
      <w:iCs/>
      <w:color w:val="404040" w:themeColor="text1" w:themeTint="BF"/>
    </w:rPr>
  </w:style>
  <w:style w:type="character" w:customStyle="1" w:styleId="CitaCar">
    <w:name w:val="Cita Car"/>
    <w:basedOn w:val="Fuentedeprrafopredeter"/>
    <w:link w:val="Cita"/>
    <w:uiPriority w:val="29"/>
    <w:rsid w:val="00A724B0"/>
    <w:rPr>
      <w:i/>
      <w:iCs/>
      <w:color w:val="404040" w:themeColor="text1" w:themeTint="BF"/>
    </w:rPr>
  </w:style>
  <w:style w:type="paragraph" w:styleId="Prrafodelista">
    <w:name w:val="List Paragraph"/>
    <w:basedOn w:val="Normal"/>
    <w:uiPriority w:val="34"/>
    <w:qFormat/>
    <w:rsid w:val="00A724B0"/>
    <w:pPr>
      <w:ind w:left="720"/>
      <w:contextualSpacing/>
    </w:pPr>
  </w:style>
  <w:style w:type="character" w:styleId="nfasisintenso">
    <w:name w:val="Intense Emphasis"/>
    <w:basedOn w:val="Fuentedeprrafopredeter"/>
    <w:uiPriority w:val="21"/>
    <w:qFormat/>
    <w:rsid w:val="00A724B0"/>
    <w:rPr>
      <w:i/>
      <w:iCs/>
      <w:color w:val="2F5496" w:themeColor="accent1" w:themeShade="BF"/>
    </w:rPr>
  </w:style>
  <w:style w:type="paragraph" w:styleId="Citadestacada">
    <w:name w:val="Intense Quote"/>
    <w:basedOn w:val="Normal"/>
    <w:next w:val="Normal"/>
    <w:link w:val="CitadestacadaCar"/>
    <w:uiPriority w:val="30"/>
    <w:qFormat/>
    <w:rsid w:val="00A7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724B0"/>
    <w:rPr>
      <w:i/>
      <w:iCs/>
      <w:color w:val="2F5496" w:themeColor="accent1" w:themeShade="BF"/>
    </w:rPr>
  </w:style>
  <w:style w:type="character" w:styleId="Referenciaintensa">
    <w:name w:val="Intense Reference"/>
    <w:basedOn w:val="Fuentedeprrafopredeter"/>
    <w:uiPriority w:val="32"/>
    <w:qFormat/>
    <w:rsid w:val="00A724B0"/>
    <w:rPr>
      <w:b/>
      <w:bCs/>
      <w:smallCaps/>
      <w:color w:val="2F5496" w:themeColor="accent1" w:themeShade="BF"/>
      <w:spacing w:val="5"/>
    </w:rPr>
  </w:style>
  <w:style w:type="paragraph" w:styleId="Encabezado">
    <w:name w:val="header"/>
    <w:basedOn w:val="Normal"/>
    <w:link w:val="EncabezadoCar"/>
    <w:uiPriority w:val="99"/>
    <w:unhideWhenUsed/>
    <w:rsid w:val="00AD3F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3F4C"/>
  </w:style>
  <w:style w:type="paragraph" w:styleId="Piedepgina">
    <w:name w:val="footer"/>
    <w:basedOn w:val="Normal"/>
    <w:link w:val="PiedepginaCar"/>
    <w:uiPriority w:val="99"/>
    <w:unhideWhenUsed/>
    <w:rsid w:val="00AD3F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3F4C"/>
  </w:style>
  <w:style w:type="paragraph" w:styleId="NormalWeb">
    <w:name w:val="Normal (Web)"/>
    <w:basedOn w:val="Normal"/>
    <w:uiPriority w:val="99"/>
    <w:unhideWhenUsed/>
    <w:rsid w:val="003855A1"/>
    <w:pPr>
      <w:spacing w:before="100" w:beforeAutospacing="1" w:after="100" w:afterAutospacing="1" w:line="240" w:lineRule="auto"/>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31771">
      <w:bodyDiv w:val="1"/>
      <w:marLeft w:val="0"/>
      <w:marRight w:val="0"/>
      <w:marTop w:val="0"/>
      <w:marBottom w:val="0"/>
      <w:divBdr>
        <w:top w:val="none" w:sz="0" w:space="0" w:color="auto"/>
        <w:left w:val="none" w:sz="0" w:space="0" w:color="auto"/>
        <w:bottom w:val="none" w:sz="0" w:space="0" w:color="auto"/>
        <w:right w:val="none" w:sz="0" w:space="0" w:color="auto"/>
      </w:divBdr>
    </w:div>
    <w:div w:id="209173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ary.lopez@cepc.com.mx" TargetMode="External"/><Relationship Id="rId13" Type="http://schemas.openxmlformats.org/officeDocument/2006/relationships/image" Target="media/image6.emf"/><Relationship Id="rId18" Type="http://schemas.openxmlformats.org/officeDocument/2006/relationships/hyperlink" Target="https://www.statista.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kasiaeugenia_gamez@ucol.mx" TargetMode="Externa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settings" Target="settings.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hyperlink" Target="https://unesdoc.unesco.org"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3351</Words>
  <Characters>18431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Santillán Campos</dc:creator>
  <cp:keywords/>
  <dc:description/>
  <cp:lastModifiedBy>Francisco Santillán Campos</cp:lastModifiedBy>
  <cp:revision>15</cp:revision>
  <dcterms:created xsi:type="dcterms:W3CDTF">2025-07-01T12:25:00Z</dcterms:created>
  <dcterms:modified xsi:type="dcterms:W3CDTF">2025-07-02T15:01:00Z</dcterms:modified>
</cp:coreProperties>
</file>